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1998" w:rsidP="008D1998" w:rsidRDefault="008D1998" w14:paraId="4332D99D" w14:textId="77777777">
      <w:pPr>
        <w:rPr>
          <w:b/>
          <w:bCs/>
        </w:rPr>
      </w:pPr>
      <w:bookmarkStart w:name="Location" w:id="0"/>
    </w:p>
    <w:p w:rsidR="008D1998" w:rsidP="008D1998" w:rsidRDefault="008D1998" w14:paraId="13B22DEF" w14:textId="77777777">
      <w:pPr>
        <w:rPr>
          <w:b/>
          <w:bCs/>
        </w:rPr>
      </w:pPr>
    </w:p>
    <w:p w:rsidR="006C401C" w:rsidP="006C401C" w:rsidRDefault="008D1998" w14:paraId="2CEB0C7B" w14:textId="77777777">
      <w:pPr>
        <w:spacing w:after="0"/>
        <w:rPr>
          <w:b/>
          <w:bCs/>
        </w:rPr>
      </w:pPr>
      <w:r w:rsidRPr="008D1998">
        <w:rPr>
          <w:b/>
          <w:bCs/>
        </w:rPr>
        <w:t>News Release</w:t>
      </w:r>
    </w:p>
    <w:bookmarkEnd w:id="0"/>
    <w:p w:rsidR="0019034F" w:rsidP="00AD6585" w:rsidRDefault="00527DF0" w14:paraId="3860402B" w14:textId="13C4803D">
      <w:pPr>
        <w:spacing w:after="0"/>
        <w:rPr>
          <w:b w:val="1"/>
          <w:bCs w:val="1"/>
        </w:rPr>
      </w:pPr>
      <w:r w:rsidR="1C90F45F">
        <w:rPr/>
        <w:t>4 June 2025</w:t>
      </w:r>
    </w:p>
    <w:p w:rsidRPr="00AD6585" w:rsidR="00AD6585" w:rsidP="00AD6585" w:rsidRDefault="00AD6585" w14:paraId="68B06611" w14:textId="77777777">
      <w:pPr>
        <w:spacing w:after="0"/>
        <w:rPr>
          <w:b/>
          <w:bCs/>
        </w:rPr>
      </w:pPr>
    </w:p>
    <w:p w:rsidR="00AD6585" w:rsidP="00AD6585" w:rsidRDefault="00AD6585" w14:paraId="5929715A" w14:textId="188702E0">
      <w:pPr>
        <w:jc w:val="center"/>
        <w:rPr>
          <w:rFonts w:cs="Arial" w:eastAsiaTheme="majorEastAsia"/>
          <w:b/>
          <w:bCs/>
          <w:sz w:val="20"/>
          <w:szCs w:val="20"/>
        </w:rPr>
      </w:pPr>
      <w:r w:rsidRPr="2D933A9B" w:rsidR="00AD6585">
        <w:rPr>
          <w:rFonts w:eastAsia="" w:cs="Arial" w:eastAsiaTheme="majorEastAsia"/>
          <w:b w:val="1"/>
          <w:bCs w:val="1"/>
          <w:sz w:val="20"/>
          <w:szCs w:val="20"/>
        </w:rPr>
        <w:t xml:space="preserve">Rural </w:t>
      </w:r>
      <w:r w:rsidRPr="2D933A9B" w:rsidR="00E424B9">
        <w:rPr>
          <w:rFonts w:eastAsia="" w:cs="Arial" w:eastAsiaTheme="majorEastAsia"/>
          <w:b w:val="1"/>
          <w:bCs w:val="1"/>
          <w:sz w:val="20"/>
          <w:szCs w:val="20"/>
        </w:rPr>
        <w:t>n</w:t>
      </w:r>
      <w:r w:rsidRPr="2D933A9B" w:rsidR="00AD6585">
        <w:rPr>
          <w:rFonts w:eastAsia="" w:cs="Arial" w:eastAsiaTheme="majorEastAsia"/>
          <w:b w:val="1"/>
          <w:bCs w:val="1"/>
          <w:sz w:val="20"/>
          <w:szCs w:val="20"/>
        </w:rPr>
        <w:t xml:space="preserve">eeds </w:t>
      </w:r>
      <w:r w:rsidRPr="2D933A9B" w:rsidR="00E424B9">
        <w:rPr>
          <w:rFonts w:eastAsia="" w:cs="Arial" w:eastAsiaTheme="majorEastAsia"/>
          <w:b w:val="1"/>
          <w:bCs w:val="1"/>
          <w:sz w:val="20"/>
          <w:szCs w:val="20"/>
        </w:rPr>
        <w:t>r</w:t>
      </w:r>
      <w:r w:rsidRPr="2D933A9B" w:rsidR="00AD6585">
        <w:rPr>
          <w:rFonts w:eastAsia="" w:cs="Arial" w:eastAsiaTheme="majorEastAsia"/>
          <w:b w:val="1"/>
          <w:bCs w:val="1"/>
          <w:sz w:val="20"/>
          <w:szCs w:val="20"/>
        </w:rPr>
        <w:t xml:space="preserve">esilience, </w:t>
      </w:r>
      <w:r w:rsidRPr="2D933A9B" w:rsidR="00E424B9">
        <w:rPr>
          <w:rFonts w:eastAsia="" w:cs="Arial" w:eastAsiaTheme="majorEastAsia"/>
          <w:b w:val="1"/>
          <w:bCs w:val="1"/>
          <w:sz w:val="20"/>
          <w:szCs w:val="20"/>
        </w:rPr>
        <w:t>n</w:t>
      </w:r>
      <w:r w:rsidRPr="2D933A9B" w:rsidR="00AD6585">
        <w:rPr>
          <w:rFonts w:eastAsia="" w:cs="Arial" w:eastAsiaTheme="majorEastAsia"/>
          <w:b w:val="1"/>
          <w:bCs w:val="1"/>
          <w:sz w:val="20"/>
          <w:szCs w:val="20"/>
        </w:rPr>
        <w:t xml:space="preserve">ot </w:t>
      </w:r>
      <w:r w:rsidRPr="2D933A9B" w:rsidR="00E424B9">
        <w:rPr>
          <w:rFonts w:eastAsia="" w:cs="Arial" w:eastAsiaTheme="majorEastAsia"/>
          <w:b w:val="1"/>
          <w:bCs w:val="1"/>
          <w:sz w:val="20"/>
          <w:szCs w:val="20"/>
        </w:rPr>
        <w:t>w</w:t>
      </w:r>
      <w:r w:rsidRPr="2D933A9B" w:rsidR="00AD6585">
        <w:rPr>
          <w:rFonts w:eastAsia="" w:cs="Arial" w:eastAsiaTheme="majorEastAsia"/>
          <w:b w:val="1"/>
          <w:bCs w:val="1"/>
          <w:sz w:val="20"/>
          <w:szCs w:val="20"/>
        </w:rPr>
        <w:t xml:space="preserve">aiting </w:t>
      </w:r>
      <w:r w:rsidRPr="2D933A9B" w:rsidR="00E424B9">
        <w:rPr>
          <w:rFonts w:eastAsia="" w:cs="Arial" w:eastAsiaTheme="majorEastAsia"/>
          <w:b w:val="1"/>
          <w:bCs w:val="1"/>
          <w:sz w:val="20"/>
          <w:szCs w:val="20"/>
        </w:rPr>
        <w:t>g</w:t>
      </w:r>
      <w:r w:rsidRPr="2D933A9B" w:rsidR="00AD6585">
        <w:rPr>
          <w:rFonts w:eastAsia="" w:cs="Arial" w:eastAsiaTheme="majorEastAsia"/>
          <w:b w:val="1"/>
          <w:bCs w:val="1"/>
          <w:sz w:val="20"/>
          <w:szCs w:val="20"/>
        </w:rPr>
        <w:t>ames</w:t>
      </w:r>
    </w:p>
    <w:p w:rsidRPr="00527DF0" w:rsidR="00527DF0" w:rsidP="2D933A9B" w:rsidRDefault="00527DF0" w14:paraId="09F36276" w14:textId="7FFE443A">
      <w:pPr>
        <w:rPr>
          <w:rFonts w:ascii="Arial" w:hAnsi="Arial" w:eastAsia="Arial" w:cs="Arial"/>
          <w:i w:val="1"/>
          <w:iCs w:val="1"/>
          <w:noProof w:val="0"/>
          <w:sz w:val="20"/>
          <w:szCs w:val="20"/>
          <w:lang w:val="en-GB"/>
        </w:rPr>
      </w:pPr>
      <w:r w:rsidRPr="2D933A9B" w:rsidR="115F7D87">
        <w:rPr>
          <w:rFonts w:ascii="Arial" w:hAnsi="Arial" w:eastAsia="Arial" w:cs="Arial"/>
          <w:i w:val="1"/>
          <w:iCs w:val="1"/>
          <w:noProof w:val="0"/>
          <w:sz w:val="20"/>
          <w:szCs w:val="20"/>
          <w:lang w:val="en-GB"/>
        </w:rPr>
        <w:t xml:space="preserve">James Farrell, Head of Rural and Partner at Knight Frank, sets out why estates and farms need to adopt a more business-minded approach, the central theme of the Spring/Summer edition of the firm’s flagship Rural Report. </w:t>
      </w:r>
    </w:p>
    <w:p w:rsidRPr="00527DF0" w:rsidR="00527DF0" w:rsidP="2D933A9B" w:rsidRDefault="00527DF0" w14:paraId="24429F3A" w14:textId="6D599057">
      <w:pPr>
        <w:rPr>
          <w:rFonts w:eastAsia="" w:cs="Arial" w:eastAsiaTheme="majorEastAsia"/>
          <w:sz w:val="20"/>
          <w:szCs w:val="20"/>
        </w:rPr>
      </w:pPr>
      <w:r w:rsidRPr="2D933A9B" w:rsidR="00527DF0">
        <w:rPr>
          <w:rFonts w:eastAsia="" w:cs="Arial" w:eastAsiaTheme="majorEastAsia"/>
          <w:sz w:val="20"/>
          <w:szCs w:val="20"/>
        </w:rPr>
        <w:t xml:space="preserve">The scale of change facing the countryside right now is unlike anything </w:t>
      </w:r>
      <w:r w:rsidRPr="2D933A9B" w:rsidR="00527DF0">
        <w:rPr>
          <w:rFonts w:eastAsia="" w:cs="Arial" w:eastAsiaTheme="majorEastAsia"/>
          <w:sz w:val="20"/>
          <w:szCs w:val="20"/>
        </w:rPr>
        <w:t>we’ve</w:t>
      </w:r>
      <w:r w:rsidRPr="2D933A9B" w:rsidR="00527DF0">
        <w:rPr>
          <w:rFonts w:eastAsia="" w:cs="Arial" w:eastAsiaTheme="majorEastAsia"/>
          <w:sz w:val="20"/>
          <w:szCs w:val="20"/>
        </w:rPr>
        <w:t xml:space="preserve"> seen in decades. If the intent </w:t>
      </w:r>
      <w:r w:rsidRPr="2D933A9B" w:rsidR="00527DF0">
        <w:rPr>
          <w:rFonts w:eastAsia="" w:cs="Arial" w:eastAsiaTheme="majorEastAsia"/>
          <w:sz w:val="20"/>
          <w:szCs w:val="20"/>
        </w:rPr>
        <w:t>was</w:t>
      </w:r>
      <w:r w:rsidRPr="2D933A9B" w:rsidR="00527DF0">
        <w:rPr>
          <w:rFonts w:eastAsia="" w:cs="Arial" w:eastAsiaTheme="majorEastAsia"/>
          <w:sz w:val="20"/>
          <w:szCs w:val="20"/>
        </w:rPr>
        <w:t xml:space="preserve"> to test the resilience of rural businesses, government policy is certainly doing its job.</w:t>
      </w:r>
    </w:p>
    <w:p w:rsidRPr="00527DF0" w:rsidR="00527DF0" w:rsidP="00527DF0" w:rsidRDefault="00527DF0" w14:paraId="2AE33170" w14:textId="77777777">
      <w:pPr>
        <w:rPr>
          <w:rFonts w:cs="Arial" w:eastAsiaTheme="majorEastAsia"/>
          <w:sz w:val="20"/>
          <w:szCs w:val="20"/>
        </w:rPr>
      </w:pPr>
      <w:r w:rsidRPr="00527DF0">
        <w:rPr>
          <w:rFonts w:cs="Arial" w:eastAsiaTheme="majorEastAsia"/>
          <w:sz w:val="20"/>
          <w:szCs w:val="20"/>
        </w:rPr>
        <w:t>In the last six months alone, landowners have been asked to absorb rising wage costs, higher employer National Insurance contributions, and an increasingly chaotic narrative around inheritance tax. Defra’s handling of environmental schemes continues to swing between hopeful and haphazard. Planning reform, which could be genuinely transformative, remains bogged down by rhetoric and delay.</w:t>
      </w:r>
    </w:p>
    <w:p w:rsidRPr="00527DF0" w:rsidR="00527DF0" w:rsidP="00527DF0" w:rsidRDefault="00527DF0" w14:paraId="68EC6675" w14:textId="73D06E6A">
      <w:pPr>
        <w:rPr>
          <w:rFonts w:cs="Arial" w:eastAsiaTheme="majorEastAsia"/>
          <w:sz w:val="20"/>
          <w:szCs w:val="20"/>
        </w:rPr>
      </w:pPr>
      <w:r w:rsidRPr="00527DF0">
        <w:rPr>
          <w:rFonts w:cs="Arial" w:eastAsiaTheme="majorEastAsia"/>
          <w:sz w:val="20"/>
          <w:szCs w:val="20"/>
        </w:rPr>
        <w:t xml:space="preserve">At the same time, the calls on estates and farms keep </w:t>
      </w:r>
      <w:proofErr w:type="gramStart"/>
      <w:r w:rsidRPr="00527DF0" w:rsidR="003473EC">
        <w:rPr>
          <w:rFonts w:cs="Arial" w:eastAsiaTheme="majorEastAsia"/>
          <w:sz w:val="20"/>
          <w:szCs w:val="20"/>
        </w:rPr>
        <w:t>growing</w:t>
      </w:r>
      <w:r w:rsidR="003473EC">
        <w:rPr>
          <w:rFonts w:cs="Arial" w:eastAsiaTheme="majorEastAsia"/>
          <w:sz w:val="20"/>
          <w:szCs w:val="20"/>
        </w:rPr>
        <w:t>:</w:t>
      </w:r>
      <w:proofErr w:type="gramEnd"/>
      <w:r w:rsidRPr="00527DF0">
        <w:rPr>
          <w:rFonts w:cs="Arial" w:eastAsiaTheme="majorEastAsia"/>
          <w:sz w:val="20"/>
          <w:szCs w:val="20"/>
        </w:rPr>
        <w:t xml:space="preserve"> deliver food, protect nature, generate local jobs, open access, cut emissions. There’s no shortage of ambition. But the frameworks to support that ambition? Far less certain.</w:t>
      </w:r>
    </w:p>
    <w:p w:rsidRPr="00527DF0" w:rsidR="00527DF0" w:rsidP="00527DF0" w:rsidRDefault="00527DF0" w14:paraId="50238F5D" w14:textId="77777777">
      <w:pPr>
        <w:rPr>
          <w:rFonts w:cs="Arial" w:eastAsiaTheme="majorEastAsia"/>
          <w:sz w:val="20"/>
          <w:szCs w:val="20"/>
        </w:rPr>
      </w:pPr>
      <w:r w:rsidRPr="00527DF0">
        <w:rPr>
          <w:rFonts w:cs="Arial" w:eastAsiaTheme="majorEastAsia"/>
          <w:sz w:val="20"/>
          <w:szCs w:val="20"/>
        </w:rPr>
        <w:t>For many, the instinct is to pause. Wait and see. But the window for action is closing.</w:t>
      </w:r>
    </w:p>
    <w:p w:rsidR="00527DF0" w:rsidP="00527DF0" w:rsidRDefault="00527DF0" w14:paraId="7F3FBC19" w14:textId="0F700A98">
      <w:pPr>
        <w:rPr>
          <w:rFonts w:cs="Arial" w:eastAsiaTheme="majorEastAsia"/>
          <w:sz w:val="20"/>
          <w:szCs w:val="20"/>
        </w:rPr>
      </w:pPr>
      <w:r w:rsidRPr="00527DF0">
        <w:rPr>
          <w:rFonts w:cs="Arial" w:eastAsiaTheme="majorEastAsia"/>
          <w:sz w:val="20"/>
          <w:szCs w:val="20"/>
        </w:rPr>
        <w:t>The proposed changes to Agricultural Property Relief and Business Property Relief</w:t>
      </w:r>
      <w:r w:rsidR="003473EC">
        <w:rPr>
          <w:rFonts w:cs="Arial" w:eastAsiaTheme="majorEastAsia"/>
          <w:sz w:val="20"/>
          <w:szCs w:val="20"/>
        </w:rPr>
        <w:t>,</w:t>
      </w:r>
      <w:r w:rsidRPr="00527DF0">
        <w:rPr>
          <w:rFonts w:cs="Arial" w:eastAsiaTheme="majorEastAsia"/>
          <w:sz w:val="20"/>
          <w:szCs w:val="20"/>
        </w:rPr>
        <w:t xml:space="preserve"> due in 2026</w:t>
      </w:r>
      <w:r w:rsidR="003473EC">
        <w:rPr>
          <w:rFonts w:cs="Arial" w:eastAsiaTheme="majorEastAsia"/>
          <w:sz w:val="20"/>
          <w:szCs w:val="20"/>
        </w:rPr>
        <w:t xml:space="preserve">, </w:t>
      </w:r>
      <w:r w:rsidRPr="00527DF0">
        <w:rPr>
          <w:rFonts w:cs="Arial" w:eastAsiaTheme="majorEastAsia"/>
          <w:sz w:val="20"/>
          <w:szCs w:val="20"/>
        </w:rPr>
        <w:t xml:space="preserve">have major implications for succession. </w:t>
      </w:r>
      <w:r w:rsidR="00E424B9">
        <w:rPr>
          <w:rFonts w:cs="Arial" w:eastAsiaTheme="majorEastAsia"/>
          <w:sz w:val="20"/>
          <w:szCs w:val="20"/>
        </w:rPr>
        <w:t>And the impact extends far beyond the tax bill</w:t>
      </w:r>
      <w:r w:rsidRPr="00527DF0">
        <w:rPr>
          <w:rFonts w:cs="Arial" w:eastAsiaTheme="majorEastAsia"/>
          <w:sz w:val="20"/>
          <w:szCs w:val="20"/>
        </w:rPr>
        <w:t>. It’s about liquidity, legacy</w:t>
      </w:r>
      <w:r w:rsidR="00E424B9">
        <w:rPr>
          <w:rFonts w:cs="Arial" w:eastAsiaTheme="majorEastAsia"/>
          <w:sz w:val="20"/>
          <w:szCs w:val="20"/>
        </w:rPr>
        <w:t xml:space="preserve"> </w:t>
      </w:r>
      <w:r w:rsidRPr="00527DF0">
        <w:rPr>
          <w:rFonts w:cs="Arial" w:eastAsiaTheme="majorEastAsia"/>
          <w:sz w:val="20"/>
          <w:szCs w:val="20"/>
        </w:rPr>
        <w:t>and the long-term viability of some of the most established family-run estates in the country. If landowners haven’t started planning already, they’re behind.</w:t>
      </w:r>
    </w:p>
    <w:p w:rsidRPr="00527DF0" w:rsidR="003473EC" w:rsidP="00527DF0" w:rsidRDefault="003473EC" w14:paraId="37E72ED1" w14:textId="79532D6B">
      <w:pPr>
        <w:rPr>
          <w:rFonts w:cs="Arial" w:eastAsiaTheme="majorEastAsia"/>
          <w:sz w:val="20"/>
          <w:szCs w:val="20"/>
        </w:rPr>
      </w:pPr>
      <w:r w:rsidRPr="003473EC">
        <w:rPr>
          <w:rFonts w:cs="Arial" w:eastAsiaTheme="majorEastAsia"/>
          <w:sz w:val="20"/>
          <w:szCs w:val="20"/>
        </w:rPr>
        <w:t>Generational change is sharpening that picture. Younger family members and new decision-makers are stepping in</w:t>
      </w:r>
      <w:r>
        <w:rPr>
          <w:rFonts w:cs="Arial" w:eastAsiaTheme="majorEastAsia"/>
          <w:sz w:val="20"/>
          <w:szCs w:val="20"/>
        </w:rPr>
        <w:t>,</w:t>
      </w:r>
      <w:r w:rsidRPr="003473EC">
        <w:rPr>
          <w:rFonts w:cs="Arial" w:eastAsiaTheme="majorEastAsia"/>
          <w:sz w:val="20"/>
          <w:szCs w:val="20"/>
        </w:rPr>
        <w:t xml:space="preserve"> and they’re asking harder questions. Sentiment alone won’t justify ownership or strategy anymore.</w:t>
      </w:r>
    </w:p>
    <w:p w:rsidRPr="00527DF0" w:rsidR="00527DF0" w:rsidP="00527DF0" w:rsidRDefault="00527DF0" w14:paraId="4B1FF8B4" w14:textId="6882C0AC">
      <w:pPr>
        <w:rPr>
          <w:rFonts w:cs="Arial" w:eastAsiaTheme="majorEastAsia"/>
          <w:sz w:val="20"/>
          <w:szCs w:val="20"/>
        </w:rPr>
      </w:pPr>
      <w:r w:rsidRPr="00527DF0">
        <w:rPr>
          <w:rFonts w:cs="Arial" w:eastAsiaTheme="majorEastAsia"/>
          <w:sz w:val="20"/>
          <w:szCs w:val="20"/>
        </w:rPr>
        <w:t>We’re working with clients who understand that. They’re tightening their grip on strategy and succession. They’re reviewing structure, cashflow</w:t>
      </w:r>
      <w:r w:rsidR="003473EC">
        <w:rPr>
          <w:rFonts w:cs="Arial" w:eastAsiaTheme="majorEastAsia"/>
          <w:sz w:val="20"/>
          <w:szCs w:val="20"/>
        </w:rPr>
        <w:t xml:space="preserve"> </w:t>
      </w:r>
      <w:r w:rsidRPr="00527DF0">
        <w:rPr>
          <w:rFonts w:cs="Arial" w:eastAsiaTheme="majorEastAsia"/>
          <w:sz w:val="20"/>
          <w:szCs w:val="20"/>
        </w:rPr>
        <w:t xml:space="preserve">and exposure to rising costs. They’re taking a harder look at subsidy </w:t>
      </w:r>
      <w:r w:rsidRPr="00527DF0" w:rsidR="00C8422D">
        <w:rPr>
          <w:rFonts w:cs="Arial" w:eastAsiaTheme="majorEastAsia"/>
          <w:sz w:val="20"/>
          <w:szCs w:val="20"/>
        </w:rPr>
        <w:t>dependence and</w:t>
      </w:r>
      <w:r w:rsidRPr="00527DF0">
        <w:rPr>
          <w:rFonts w:cs="Arial" w:eastAsiaTheme="majorEastAsia"/>
          <w:sz w:val="20"/>
          <w:szCs w:val="20"/>
        </w:rPr>
        <w:t xml:space="preserve"> focusing on long-term resilience </w:t>
      </w:r>
      <w:r w:rsidR="003473EC">
        <w:rPr>
          <w:rFonts w:cs="Arial" w:eastAsiaTheme="majorEastAsia"/>
          <w:sz w:val="20"/>
          <w:szCs w:val="20"/>
        </w:rPr>
        <w:t xml:space="preserve">- </w:t>
      </w:r>
      <w:r w:rsidRPr="00527DF0">
        <w:rPr>
          <w:rFonts w:cs="Arial" w:eastAsiaTheme="majorEastAsia"/>
          <w:sz w:val="20"/>
          <w:szCs w:val="20"/>
        </w:rPr>
        <w:t>not next year’s grant scheme.</w:t>
      </w:r>
    </w:p>
    <w:p w:rsidRPr="00527DF0" w:rsidR="00527DF0" w:rsidP="00527DF0" w:rsidRDefault="00527DF0" w14:paraId="2494E157" w14:textId="77777777">
      <w:pPr>
        <w:rPr>
          <w:rFonts w:cs="Arial" w:eastAsiaTheme="majorEastAsia"/>
          <w:sz w:val="20"/>
          <w:szCs w:val="20"/>
        </w:rPr>
      </w:pPr>
      <w:r w:rsidRPr="00527DF0">
        <w:rPr>
          <w:rFonts w:cs="Arial" w:eastAsiaTheme="majorEastAsia"/>
          <w:sz w:val="20"/>
          <w:szCs w:val="20"/>
        </w:rPr>
        <w:t>The ones getting ahead aren’t necessarily doing more. They’re doing the right things, at the right time.</w:t>
      </w:r>
    </w:p>
    <w:p w:rsidRPr="00527DF0" w:rsidR="00527DF0" w:rsidP="00527DF0" w:rsidRDefault="00527DF0" w14:paraId="7E95992C" w14:textId="1AAB5333">
      <w:pPr>
        <w:rPr>
          <w:rFonts w:cs="Arial" w:eastAsiaTheme="majorEastAsia"/>
          <w:sz w:val="20"/>
          <w:szCs w:val="20"/>
        </w:rPr>
      </w:pPr>
      <w:proofErr w:type="spellStart"/>
      <w:r w:rsidRPr="00527DF0">
        <w:rPr>
          <w:rFonts w:cs="Arial" w:eastAsiaTheme="majorEastAsia"/>
          <w:sz w:val="20"/>
          <w:szCs w:val="20"/>
        </w:rPr>
        <w:t>Wiston</w:t>
      </w:r>
      <w:proofErr w:type="spellEnd"/>
      <w:r w:rsidRPr="00527DF0">
        <w:rPr>
          <w:rFonts w:cs="Arial" w:eastAsiaTheme="majorEastAsia"/>
          <w:sz w:val="20"/>
          <w:szCs w:val="20"/>
        </w:rPr>
        <w:t xml:space="preserve"> Estate is one of them. They completed a Biodiversity Net Gain deal before the mandate came into force. That decision unlocked funding to appoint a full-time ecologist </w:t>
      </w:r>
      <w:r w:rsidR="00E424B9">
        <w:rPr>
          <w:rFonts w:cs="Arial" w:eastAsiaTheme="majorEastAsia"/>
          <w:sz w:val="20"/>
          <w:szCs w:val="20"/>
        </w:rPr>
        <w:t xml:space="preserve">- </w:t>
      </w:r>
      <w:r w:rsidRPr="00527DF0">
        <w:rPr>
          <w:rFonts w:cs="Arial" w:eastAsiaTheme="majorEastAsia"/>
          <w:sz w:val="20"/>
          <w:szCs w:val="20"/>
        </w:rPr>
        <w:t xml:space="preserve">a </w:t>
      </w:r>
      <w:r w:rsidR="00E424B9">
        <w:rPr>
          <w:rFonts w:cs="Arial" w:eastAsiaTheme="majorEastAsia"/>
          <w:sz w:val="20"/>
          <w:szCs w:val="20"/>
        </w:rPr>
        <w:t>long-term ambition for the estate</w:t>
      </w:r>
      <w:r w:rsidRPr="00527DF0">
        <w:rPr>
          <w:rFonts w:cs="Arial" w:eastAsiaTheme="majorEastAsia"/>
          <w:sz w:val="20"/>
          <w:szCs w:val="20"/>
        </w:rPr>
        <w:t xml:space="preserve"> </w:t>
      </w:r>
      <w:r w:rsidR="00E424B9">
        <w:rPr>
          <w:rFonts w:cs="Arial" w:eastAsiaTheme="majorEastAsia"/>
          <w:sz w:val="20"/>
          <w:szCs w:val="20"/>
        </w:rPr>
        <w:t xml:space="preserve">- </w:t>
      </w:r>
      <w:r w:rsidRPr="00527DF0">
        <w:rPr>
          <w:rFonts w:cs="Arial" w:eastAsiaTheme="majorEastAsia"/>
          <w:sz w:val="20"/>
          <w:szCs w:val="20"/>
        </w:rPr>
        <w:t>and embed land use monitoring across 6,000 acres of arable, grassland and vineyards</w:t>
      </w:r>
      <w:r w:rsidR="00E424B9">
        <w:rPr>
          <w:rFonts w:cs="Arial" w:eastAsiaTheme="majorEastAsia"/>
          <w:sz w:val="20"/>
          <w:szCs w:val="20"/>
        </w:rPr>
        <w:t>.</w:t>
      </w:r>
    </w:p>
    <w:p w:rsidRPr="00527DF0" w:rsidR="00527DF0" w:rsidP="00527DF0" w:rsidRDefault="00527DF0" w14:paraId="4C2233A1" w14:textId="12A2BBBB">
      <w:pPr>
        <w:rPr>
          <w:rFonts w:cs="Arial" w:eastAsiaTheme="majorEastAsia"/>
          <w:sz w:val="20"/>
          <w:szCs w:val="20"/>
        </w:rPr>
      </w:pPr>
      <w:r w:rsidRPr="00527DF0">
        <w:rPr>
          <w:rFonts w:cs="Arial" w:eastAsiaTheme="majorEastAsia"/>
          <w:sz w:val="20"/>
          <w:szCs w:val="20"/>
        </w:rPr>
        <w:t>This kind of progress isn’t unique, but it’s not yet the norm. Too many estates are stuck in a holding pattern</w:t>
      </w:r>
      <w:r w:rsidR="00617BB5">
        <w:rPr>
          <w:rFonts w:cs="Arial" w:eastAsiaTheme="majorEastAsia"/>
          <w:sz w:val="20"/>
          <w:szCs w:val="20"/>
        </w:rPr>
        <w:t>,</w:t>
      </w:r>
      <w:r w:rsidRPr="00527DF0">
        <w:rPr>
          <w:rFonts w:cs="Arial" w:eastAsiaTheme="majorEastAsia"/>
          <w:sz w:val="20"/>
          <w:szCs w:val="20"/>
        </w:rPr>
        <w:t xml:space="preserve"> waiting for clearer signals from Whitehall, or for the markets to settle. That strategy has a short shelf life.</w:t>
      </w:r>
    </w:p>
    <w:p w:rsidRPr="00527DF0" w:rsidR="00527DF0" w:rsidP="00527DF0" w:rsidRDefault="00527DF0" w14:paraId="57239110" w14:textId="54626BF6">
      <w:pPr>
        <w:rPr>
          <w:rFonts w:cs="Arial" w:eastAsiaTheme="majorEastAsia"/>
          <w:sz w:val="20"/>
          <w:szCs w:val="20"/>
        </w:rPr>
      </w:pPr>
      <w:r w:rsidRPr="00527DF0">
        <w:rPr>
          <w:rFonts w:cs="Arial" w:eastAsiaTheme="majorEastAsia"/>
          <w:sz w:val="20"/>
          <w:szCs w:val="20"/>
        </w:rPr>
        <w:t xml:space="preserve">Private capital is starting to move into natural capital markets. Slowly, yes. But the direction of travel is there. Smart businesses are investing in baseline data, natural capital assessments, and the capacity to respond quickly when opportunities arise </w:t>
      </w:r>
      <w:r w:rsidR="00E424B9">
        <w:rPr>
          <w:rFonts w:cs="Arial" w:eastAsiaTheme="majorEastAsia"/>
          <w:sz w:val="20"/>
          <w:szCs w:val="20"/>
        </w:rPr>
        <w:t>-</w:t>
      </w:r>
      <w:r w:rsidRPr="00527DF0">
        <w:rPr>
          <w:rFonts w:cs="Arial" w:eastAsiaTheme="majorEastAsia"/>
          <w:sz w:val="20"/>
          <w:szCs w:val="20"/>
        </w:rPr>
        <w:t xml:space="preserve"> whether that’s a habitat bank, a renewable deal</w:t>
      </w:r>
      <w:r w:rsidR="00617BB5">
        <w:rPr>
          <w:rFonts w:cs="Arial" w:eastAsiaTheme="majorEastAsia"/>
          <w:sz w:val="20"/>
          <w:szCs w:val="20"/>
        </w:rPr>
        <w:t xml:space="preserve"> </w:t>
      </w:r>
      <w:r w:rsidRPr="00527DF0">
        <w:rPr>
          <w:rFonts w:cs="Arial" w:eastAsiaTheme="majorEastAsia"/>
          <w:sz w:val="20"/>
          <w:szCs w:val="20"/>
        </w:rPr>
        <w:t>or a tenant restructure.</w:t>
      </w:r>
    </w:p>
    <w:p w:rsidR="00BB065B" w:rsidP="2D933A9B" w:rsidRDefault="00BB065B" w14:paraId="607FD3F1" w14:textId="66AD2A7C">
      <w:pPr>
        <w:rPr>
          <w:rFonts w:eastAsia="" w:cs="Arial" w:eastAsiaTheme="majorEastAsia"/>
          <w:sz w:val="20"/>
          <w:szCs w:val="20"/>
        </w:rPr>
      </w:pPr>
      <w:r w:rsidRPr="2D933A9B" w:rsidR="00617BB5">
        <w:rPr>
          <w:rFonts w:eastAsia="" w:cs="Arial" w:eastAsiaTheme="majorEastAsia"/>
          <w:sz w:val="20"/>
          <w:szCs w:val="20"/>
        </w:rPr>
        <w:t xml:space="preserve">Digital tools are part of this too. More estates are using geospatial mapping, biodiversity tracking and business benchmarking to sharpen performance and reduce risk. </w:t>
      </w:r>
      <w:r w:rsidRPr="2D933A9B" w:rsidR="00E424B9">
        <w:rPr>
          <w:rFonts w:eastAsia="" w:cs="Arial" w:eastAsiaTheme="majorEastAsia"/>
          <w:sz w:val="20"/>
          <w:szCs w:val="20"/>
        </w:rPr>
        <w:t>It’s</w:t>
      </w:r>
      <w:r w:rsidRPr="2D933A9B" w:rsidR="00E424B9">
        <w:rPr>
          <w:rFonts w:eastAsia="" w:cs="Arial" w:eastAsiaTheme="majorEastAsia"/>
          <w:sz w:val="20"/>
          <w:szCs w:val="20"/>
        </w:rPr>
        <w:t xml:space="preserve"> also worth noting that this </w:t>
      </w:r>
      <w:r w:rsidRPr="2D933A9B" w:rsidR="00E424B9">
        <w:rPr>
          <w:rFonts w:eastAsia="" w:cs="Arial" w:eastAsiaTheme="majorEastAsia"/>
          <w:sz w:val="20"/>
          <w:szCs w:val="20"/>
        </w:rPr>
        <w:t>isn’t</w:t>
      </w:r>
      <w:r w:rsidRPr="2D933A9B" w:rsidR="00617BB5">
        <w:rPr>
          <w:rFonts w:eastAsia="" w:cs="Arial" w:eastAsiaTheme="majorEastAsia"/>
          <w:sz w:val="20"/>
          <w:szCs w:val="20"/>
        </w:rPr>
        <w:t xml:space="preserve"> to follow trends</w:t>
      </w:r>
      <w:r w:rsidRPr="2D933A9B" w:rsidR="00E424B9">
        <w:rPr>
          <w:rFonts w:eastAsia="" w:cs="Arial" w:eastAsiaTheme="majorEastAsia"/>
          <w:sz w:val="20"/>
          <w:szCs w:val="20"/>
        </w:rPr>
        <w:t>,</w:t>
      </w:r>
      <w:r w:rsidRPr="2D933A9B" w:rsidR="00617BB5">
        <w:rPr>
          <w:rFonts w:eastAsia="" w:cs="Arial" w:eastAsiaTheme="majorEastAsia"/>
          <w:sz w:val="20"/>
          <w:szCs w:val="20"/>
        </w:rPr>
        <w:t xml:space="preserve"> but to make better, </w:t>
      </w:r>
      <w:r w:rsidRPr="2D933A9B" w:rsidR="00E424B9">
        <w:rPr>
          <w:rFonts w:eastAsia="" w:cs="Arial" w:eastAsiaTheme="majorEastAsia"/>
          <w:sz w:val="20"/>
          <w:szCs w:val="20"/>
        </w:rPr>
        <w:t xml:space="preserve">more </w:t>
      </w:r>
      <w:r w:rsidRPr="2D933A9B" w:rsidR="00E424B9">
        <w:rPr>
          <w:rFonts w:eastAsia="" w:cs="Arial" w:eastAsiaTheme="majorEastAsia"/>
          <w:sz w:val="20"/>
          <w:szCs w:val="20"/>
        </w:rPr>
        <w:t>informed</w:t>
      </w:r>
      <w:r w:rsidRPr="2D933A9B" w:rsidR="00E424B9">
        <w:rPr>
          <w:rFonts w:eastAsia="" w:cs="Arial" w:eastAsiaTheme="majorEastAsia"/>
          <w:sz w:val="20"/>
          <w:szCs w:val="20"/>
        </w:rPr>
        <w:t xml:space="preserve"> and </w:t>
      </w:r>
      <w:r w:rsidRPr="2D933A9B" w:rsidR="00617BB5">
        <w:rPr>
          <w:rFonts w:eastAsia="" w:cs="Arial" w:eastAsiaTheme="majorEastAsia"/>
          <w:sz w:val="20"/>
          <w:szCs w:val="20"/>
        </w:rPr>
        <w:t>faster decisions.</w:t>
      </w:r>
    </w:p>
    <w:p w:rsidR="00BB065B" w:rsidP="00617BB5" w:rsidRDefault="00BB065B" w14:paraId="1BCB7F77" w14:textId="050C4E31">
      <w:pPr>
        <w:rPr>
          <w:rFonts w:cs="Arial" w:eastAsiaTheme="majorEastAsia"/>
          <w:sz w:val="20"/>
          <w:szCs w:val="20"/>
        </w:rPr>
      </w:pPr>
      <w:r w:rsidRPr="00BB065B">
        <w:rPr>
          <w:rFonts w:cs="Arial" w:eastAsiaTheme="majorEastAsia"/>
          <w:sz w:val="20"/>
          <w:szCs w:val="20"/>
        </w:rPr>
        <w:lastRenderedPageBreak/>
        <w:t xml:space="preserve">Our latest Rural Report captures these shifts. It shares insight from estates putting strategy and leadership at the centre of decision-making, explores how technology is reshaping operations and </w:t>
      </w:r>
      <w:proofErr w:type="gramStart"/>
      <w:r w:rsidRPr="00BB065B">
        <w:rPr>
          <w:rFonts w:cs="Arial" w:eastAsiaTheme="majorEastAsia"/>
          <w:sz w:val="20"/>
          <w:szCs w:val="20"/>
        </w:rPr>
        <w:t>opening up</w:t>
      </w:r>
      <w:proofErr w:type="gramEnd"/>
      <w:r w:rsidRPr="00BB065B">
        <w:rPr>
          <w:rFonts w:cs="Arial" w:eastAsiaTheme="majorEastAsia"/>
          <w:sz w:val="20"/>
          <w:szCs w:val="20"/>
        </w:rPr>
        <w:t xml:space="preserve"> new revenue streams, and unpacks the policy changes influencing land use and long-term planning. You'll find examples of successful diversification, natural capital being built into core business models, and the latest land market intelligence</w:t>
      </w:r>
      <w:r>
        <w:rPr>
          <w:rFonts w:cs="Arial" w:eastAsiaTheme="majorEastAsia"/>
          <w:sz w:val="20"/>
          <w:szCs w:val="20"/>
        </w:rPr>
        <w:t xml:space="preserve">. </w:t>
      </w:r>
    </w:p>
    <w:p w:rsidR="00617BB5" w:rsidP="00617BB5" w:rsidRDefault="00617BB5" w14:paraId="502482BF" w14:textId="62D13BB2">
      <w:pPr>
        <w:rPr>
          <w:rFonts w:cs="Arial" w:eastAsiaTheme="majorEastAsia"/>
          <w:sz w:val="20"/>
          <w:szCs w:val="20"/>
        </w:rPr>
      </w:pPr>
      <w:r w:rsidRPr="00617BB5">
        <w:rPr>
          <w:rFonts w:cs="Arial" w:eastAsiaTheme="majorEastAsia"/>
          <w:sz w:val="20"/>
          <w:szCs w:val="20"/>
        </w:rPr>
        <w:t>The mood music from government isn’t improving. But the sector can’t afford to wait for a better tune. Landowners need to move now while the window for adaptation is still open, and while the tools for transition are within reach</w:t>
      </w:r>
      <w:r w:rsidR="00BB065B">
        <w:rPr>
          <w:rFonts w:cs="Arial" w:eastAsiaTheme="majorEastAsia"/>
          <w:sz w:val="20"/>
          <w:szCs w:val="20"/>
        </w:rPr>
        <w:t>.</w:t>
      </w:r>
    </w:p>
    <w:p w:rsidRPr="00617BB5" w:rsidR="00BB065B" w:rsidP="1C90F45F" w:rsidRDefault="00BB065B" w14:paraId="42FE6646" w14:textId="0738CC86">
      <w:pPr>
        <w:rPr>
          <w:rFonts w:eastAsia="" w:cs="Arial" w:eastAsiaTheme="majorEastAsia"/>
          <w:sz w:val="20"/>
          <w:szCs w:val="20"/>
        </w:rPr>
      </w:pPr>
      <w:r w:rsidRPr="1C90F45F" w:rsidR="1C90F45F">
        <w:rPr>
          <w:rFonts w:eastAsia="" w:cs="Arial" w:eastAsiaTheme="majorEastAsia"/>
          <w:sz w:val="20"/>
          <w:szCs w:val="20"/>
        </w:rPr>
        <w:t xml:space="preserve">The full Spring/Summer 2025 Rural Report is available now at </w:t>
      </w:r>
      <w:hyperlink r:id="R028d026dd3034dd7">
        <w:r w:rsidRPr="1C90F45F" w:rsidR="1C90F45F">
          <w:rPr>
            <w:rStyle w:val="Hyperlink"/>
            <w:rFonts w:eastAsia="" w:cs="Arial" w:eastAsiaTheme="majorEastAsia"/>
            <w:sz w:val="20"/>
            <w:szCs w:val="20"/>
          </w:rPr>
          <w:t>https://publications.knightfrank.com/the-rural-report/ss25/</w:t>
        </w:r>
      </w:hyperlink>
    </w:p>
    <w:p w:rsidR="00311FEE" w:rsidP="007E0F25" w:rsidRDefault="3F5919F5" w14:paraId="6BE122E3" w14:textId="0AC9730A">
      <w:pPr>
        <w:rPr>
          <w:b/>
          <w:bCs/>
        </w:rPr>
      </w:pPr>
      <w:r w:rsidRPr="3F5919F5">
        <w:rPr>
          <w:b/>
          <w:bCs/>
        </w:rPr>
        <w:t>/</w:t>
      </w:r>
      <w:proofErr w:type="gramStart"/>
      <w:r w:rsidRPr="3F5919F5">
        <w:rPr>
          <w:b/>
          <w:bCs/>
        </w:rPr>
        <w:t>ends</w:t>
      </w:r>
      <w:proofErr w:type="gramEnd"/>
    </w:p>
    <w:p w:rsidRPr="00645047" w:rsidR="00645047" w:rsidP="00645047" w:rsidRDefault="00645047" w14:paraId="7F88E8B9" w14:textId="1694F755">
      <w:pPr>
        <w:rPr>
          <w:b/>
          <w:bCs/>
        </w:rPr>
      </w:pPr>
      <w:r w:rsidRPr="00645047">
        <w:rPr>
          <w:b/>
          <w:bCs/>
        </w:rPr>
        <w:t>Notes to Editors</w:t>
      </w:r>
    </w:p>
    <w:p w:rsidRPr="00300EA2" w:rsidR="00645047" w:rsidP="3F5919F5" w:rsidRDefault="3F5919F5" w14:paraId="4254FCFD" w14:textId="77777777">
      <w:pPr>
        <w:pStyle w:val="NormalWeb"/>
        <w:spacing w:after="120"/>
        <w:rPr>
          <w:rFonts w:ascii="Arial" w:hAnsi="Arial" w:cs="Arial"/>
          <w:sz w:val="20"/>
          <w:szCs w:val="20"/>
        </w:rPr>
      </w:pPr>
      <w:r w:rsidRPr="3F5919F5">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Pr="00F97E8A" w:rsidR="009553C8" w:rsidRDefault="009553C8" w14:paraId="67B3D98B" w14:textId="77777777">
      <w:pPr>
        <w:rPr>
          <w:rFonts w:cs="Arial" w:eastAsiaTheme="majorEastAsia"/>
          <w:sz w:val="20"/>
          <w:szCs w:val="20"/>
        </w:rPr>
      </w:pPr>
    </w:p>
    <w:sectPr w:rsidRPr="00F97E8A" w:rsidR="009553C8">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0DE" w:rsidP="008D1998" w:rsidRDefault="008600DE" w14:paraId="5A026DAB" w14:textId="77777777">
      <w:pPr>
        <w:spacing w:after="0" w:line="240" w:lineRule="auto"/>
      </w:pPr>
      <w:r>
        <w:separator/>
      </w:r>
    </w:p>
  </w:endnote>
  <w:endnote w:type="continuationSeparator" w:id="0">
    <w:p w:rsidR="008600DE" w:rsidP="008D1998" w:rsidRDefault="008600DE" w14:paraId="7A033C32" w14:textId="77777777">
      <w:pPr>
        <w:spacing w:after="0" w:line="240" w:lineRule="auto"/>
      </w:pPr>
      <w:r>
        <w:continuationSeparator/>
      </w:r>
    </w:p>
  </w:endnote>
  <w:endnote w:type="continuationNotice" w:id="1">
    <w:p w:rsidR="008600DE" w:rsidRDefault="008600DE" w14:paraId="7047A7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0DE" w:rsidP="008D1998" w:rsidRDefault="008600DE" w14:paraId="754A1B04" w14:textId="77777777">
      <w:pPr>
        <w:spacing w:after="0" w:line="240" w:lineRule="auto"/>
      </w:pPr>
      <w:r>
        <w:separator/>
      </w:r>
    </w:p>
  </w:footnote>
  <w:footnote w:type="continuationSeparator" w:id="0">
    <w:p w:rsidR="008600DE" w:rsidP="008D1998" w:rsidRDefault="008600DE" w14:paraId="63D70A2A" w14:textId="77777777">
      <w:pPr>
        <w:spacing w:after="0" w:line="240" w:lineRule="auto"/>
      </w:pPr>
      <w:r>
        <w:continuationSeparator/>
      </w:r>
    </w:p>
  </w:footnote>
  <w:footnote w:type="continuationNotice" w:id="1">
    <w:p w:rsidR="008600DE" w:rsidRDefault="008600DE" w14:paraId="6987448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D1998" w:rsidRDefault="008D1998" w14:paraId="3854C8CC" w14:textId="3775A638">
    <w:pPr>
      <w:pStyle w:val="Header"/>
    </w:pPr>
    <w:r>
      <w:ptab w:alignment="center" w:relativeTo="margin" w:leader="none"/>
    </w:r>
    <w:r>
      <w:ptab w:alignment="right" w:relativeTo="margin"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hint="default" w:ascii="Arial" w:hAnsi="Arial" w:cs="Arial" w:eastAsiaTheme="majorEastAsia"/>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148A3"/>
    <w:rsid w:val="00015455"/>
    <w:rsid w:val="0001760D"/>
    <w:rsid w:val="000249FF"/>
    <w:rsid w:val="00031709"/>
    <w:rsid w:val="000432F7"/>
    <w:rsid w:val="000447E2"/>
    <w:rsid w:val="00044ECD"/>
    <w:rsid w:val="000541F8"/>
    <w:rsid w:val="000543EE"/>
    <w:rsid w:val="00054E62"/>
    <w:rsid w:val="00062C8B"/>
    <w:rsid w:val="00076231"/>
    <w:rsid w:val="00076838"/>
    <w:rsid w:val="0008503E"/>
    <w:rsid w:val="000948E3"/>
    <w:rsid w:val="00097F81"/>
    <w:rsid w:val="000A11E4"/>
    <w:rsid w:val="000A1BF2"/>
    <w:rsid w:val="000A572E"/>
    <w:rsid w:val="000B025D"/>
    <w:rsid w:val="000B3F45"/>
    <w:rsid w:val="000B50DA"/>
    <w:rsid w:val="000C60DF"/>
    <w:rsid w:val="000C7DC9"/>
    <w:rsid w:val="000D77AD"/>
    <w:rsid w:val="000E1346"/>
    <w:rsid w:val="000E1D08"/>
    <w:rsid w:val="000E42C3"/>
    <w:rsid w:val="001076EF"/>
    <w:rsid w:val="00114702"/>
    <w:rsid w:val="00114F40"/>
    <w:rsid w:val="001166C9"/>
    <w:rsid w:val="00121351"/>
    <w:rsid w:val="00126897"/>
    <w:rsid w:val="0013124B"/>
    <w:rsid w:val="00132863"/>
    <w:rsid w:val="00133CD0"/>
    <w:rsid w:val="001344CF"/>
    <w:rsid w:val="00153CAD"/>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473EC"/>
    <w:rsid w:val="00356B03"/>
    <w:rsid w:val="003674C9"/>
    <w:rsid w:val="00370A97"/>
    <w:rsid w:val="00374EE7"/>
    <w:rsid w:val="0039215E"/>
    <w:rsid w:val="003A13A5"/>
    <w:rsid w:val="003A1695"/>
    <w:rsid w:val="003A1FA4"/>
    <w:rsid w:val="003A207C"/>
    <w:rsid w:val="003A5173"/>
    <w:rsid w:val="003B1C8A"/>
    <w:rsid w:val="003B57A6"/>
    <w:rsid w:val="003B7E67"/>
    <w:rsid w:val="003C1141"/>
    <w:rsid w:val="003C50D1"/>
    <w:rsid w:val="003E0F8D"/>
    <w:rsid w:val="003E1324"/>
    <w:rsid w:val="003E243E"/>
    <w:rsid w:val="003E3054"/>
    <w:rsid w:val="003E323C"/>
    <w:rsid w:val="003E7976"/>
    <w:rsid w:val="00405C95"/>
    <w:rsid w:val="00416128"/>
    <w:rsid w:val="00421256"/>
    <w:rsid w:val="004215AA"/>
    <w:rsid w:val="0042472F"/>
    <w:rsid w:val="00425D18"/>
    <w:rsid w:val="00430004"/>
    <w:rsid w:val="00431606"/>
    <w:rsid w:val="004317A5"/>
    <w:rsid w:val="00433914"/>
    <w:rsid w:val="004353EE"/>
    <w:rsid w:val="0043749C"/>
    <w:rsid w:val="004440EA"/>
    <w:rsid w:val="00457E1E"/>
    <w:rsid w:val="00477580"/>
    <w:rsid w:val="004849E7"/>
    <w:rsid w:val="0049036E"/>
    <w:rsid w:val="004921C3"/>
    <w:rsid w:val="004A2620"/>
    <w:rsid w:val="004A268C"/>
    <w:rsid w:val="004A4206"/>
    <w:rsid w:val="004B0CB0"/>
    <w:rsid w:val="004B1896"/>
    <w:rsid w:val="004B3664"/>
    <w:rsid w:val="004B5D60"/>
    <w:rsid w:val="004B5DBA"/>
    <w:rsid w:val="004C32E5"/>
    <w:rsid w:val="004C3901"/>
    <w:rsid w:val="004E0688"/>
    <w:rsid w:val="004E6C2D"/>
    <w:rsid w:val="004F1C96"/>
    <w:rsid w:val="004F1CE1"/>
    <w:rsid w:val="004F44D8"/>
    <w:rsid w:val="00505DC6"/>
    <w:rsid w:val="005060D9"/>
    <w:rsid w:val="00516DF4"/>
    <w:rsid w:val="00526213"/>
    <w:rsid w:val="00526898"/>
    <w:rsid w:val="00527DF0"/>
    <w:rsid w:val="00540843"/>
    <w:rsid w:val="00551CA4"/>
    <w:rsid w:val="00552643"/>
    <w:rsid w:val="0055356E"/>
    <w:rsid w:val="005544F2"/>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E0CB1"/>
    <w:rsid w:val="005E245C"/>
    <w:rsid w:val="005E3E39"/>
    <w:rsid w:val="005E4A1B"/>
    <w:rsid w:val="005E6030"/>
    <w:rsid w:val="00616652"/>
    <w:rsid w:val="00616B4E"/>
    <w:rsid w:val="00616F0F"/>
    <w:rsid w:val="00617157"/>
    <w:rsid w:val="00617BB5"/>
    <w:rsid w:val="00620190"/>
    <w:rsid w:val="006353F4"/>
    <w:rsid w:val="00643684"/>
    <w:rsid w:val="006447C0"/>
    <w:rsid w:val="00645047"/>
    <w:rsid w:val="006534AC"/>
    <w:rsid w:val="00654C66"/>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B634E"/>
    <w:rsid w:val="007B6AD7"/>
    <w:rsid w:val="007B718A"/>
    <w:rsid w:val="007C0193"/>
    <w:rsid w:val="007D20AF"/>
    <w:rsid w:val="007D3935"/>
    <w:rsid w:val="007E0F25"/>
    <w:rsid w:val="007E38C2"/>
    <w:rsid w:val="007E3954"/>
    <w:rsid w:val="007E4559"/>
    <w:rsid w:val="00803EA6"/>
    <w:rsid w:val="00817C9F"/>
    <w:rsid w:val="00821CB8"/>
    <w:rsid w:val="008308DD"/>
    <w:rsid w:val="0083616C"/>
    <w:rsid w:val="00837767"/>
    <w:rsid w:val="008406DB"/>
    <w:rsid w:val="00845012"/>
    <w:rsid w:val="00845DE9"/>
    <w:rsid w:val="0084787C"/>
    <w:rsid w:val="00850B09"/>
    <w:rsid w:val="0085147E"/>
    <w:rsid w:val="00852098"/>
    <w:rsid w:val="00853D4C"/>
    <w:rsid w:val="00854B56"/>
    <w:rsid w:val="00856000"/>
    <w:rsid w:val="008600DE"/>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3731"/>
    <w:rsid w:val="00A6436A"/>
    <w:rsid w:val="00A7290E"/>
    <w:rsid w:val="00A73085"/>
    <w:rsid w:val="00A731EA"/>
    <w:rsid w:val="00A7370F"/>
    <w:rsid w:val="00A74506"/>
    <w:rsid w:val="00A83627"/>
    <w:rsid w:val="00A875CD"/>
    <w:rsid w:val="00A92703"/>
    <w:rsid w:val="00A93235"/>
    <w:rsid w:val="00AA2944"/>
    <w:rsid w:val="00AA30FF"/>
    <w:rsid w:val="00AA7DCC"/>
    <w:rsid w:val="00AC5BF9"/>
    <w:rsid w:val="00AD100D"/>
    <w:rsid w:val="00AD11C2"/>
    <w:rsid w:val="00AD32F4"/>
    <w:rsid w:val="00AD5C82"/>
    <w:rsid w:val="00AD6585"/>
    <w:rsid w:val="00AD75D9"/>
    <w:rsid w:val="00AE0DE2"/>
    <w:rsid w:val="00AE2F9C"/>
    <w:rsid w:val="00AF6221"/>
    <w:rsid w:val="00B025CD"/>
    <w:rsid w:val="00B05D71"/>
    <w:rsid w:val="00B07CFF"/>
    <w:rsid w:val="00B13354"/>
    <w:rsid w:val="00B15639"/>
    <w:rsid w:val="00B17E65"/>
    <w:rsid w:val="00B27EB1"/>
    <w:rsid w:val="00B32443"/>
    <w:rsid w:val="00B327B9"/>
    <w:rsid w:val="00B610DE"/>
    <w:rsid w:val="00B6254F"/>
    <w:rsid w:val="00B709A3"/>
    <w:rsid w:val="00B71E06"/>
    <w:rsid w:val="00B738B6"/>
    <w:rsid w:val="00B8453B"/>
    <w:rsid w:val="00B9175C"/>
    <w:rsid w:val="00BA163B"/>
    <w:rsid w:val="00BB0133"/>
    <w:rsid w:val="00BB064C"/>
    <w:rsid w:val="00BB065B"/>
    <w:rsid w:val="00BB28D6"/>
    <w:rsid w:val="00BB6419"/>
    <w:rsid w:val="00BC167A"/>
    <w:rsid w:val="00BC3074"/>
    <w:rsid w:val="00BD2833"/>
    <w:rsid w:val="00BD3086"/>
    <w:rsid w:val="00BE30C3"/>
    <w:rsid w:val="00BF043E"/>
    <w:rsid w:val="00BF0D8B"/>
    <w:rsid w:val="00BF170B"/>
    <w:rsid w:val="00C05DBC"/>
    <w:rsid w:val="00C100F4"/>
    <w:rsid w:val="00C156D6"/>
    <w:rsid w:val="00C161BB"/>
    <w:rsid w:val="00C276CA"/>
    <w:rsid w:val="00C37C24"/>
    <w:rsid w:val="00C478BD"/>
    <w:rsid w:val="00C504DA"/>
    <w:rsid w:val="00C53E40"/>
    <w:rsid w:val="00C5404E"/>
    <w:rsid w:val="00C543E6"/>
    <w:rsid w:val="00C80D42"/>
    <w:rsid w:val="00C8422D"/>
    <w:rsid w:val="00C9322F"/>
    <w:rsid w:val="00CA2A53"/>
    <w:rsid w:val="00CA5D23"/>
    <w:rsid w:val="00CB0C03"/>
    <w:rsid w:val="00CB41CB"/>
    <w:rsid w:val="00CB517A"/>
    <w:rsid w:val="00CB5DE1"/>
    <w:rsid w:val="00CD1311"/>
    <w:rsid w:val="00CD7AB5"/>
    <w:rsid w:val="00CE0A1A"/>
    <w:rsid w:val="00CE445E"/>
    <w:rsid w:val="00CF33CB"/>
    <w:rsid w:val="00D0120F"/>
    <w:rsid w:val="00D06FDA"/>
    <w:rsid w:val="00D07AEA"/>
    <w:rsid w:val="00D169DF"/>
    <w:rsid w:val="00D25240"/>
    <w:rsid w:val="00D26D80"/>
    <w:rsid w:val="00D3247C"/>
    <w:rsid w:val="00D45896"/>
    <w:rsid w:val="00D46327"/>
    <w:rsid w:val="00D5103A"/>
    <w:rsid w:val="00D54B90"/>
    <w:rsid w:val="00D6603D"/>
    <w:rsid w:val="00D71AB3"/>
    <w:rsid w:val="00D71F12"/>
    <w:rsid w:val="00D75AEC"/>
    <w:rsid w:val="00D76D3B"/>
    <w:rsid w:val="00D80862"/>
    <w:rsid w:val="00D850C1"/>
    <w:rsid w:val="00D87835"/>
    <w:rsid w:val="00D96388"/>
    <w:rsid w:val="00DA5087"/>
    <w:rsid w:val="00DB4D3F"/>
    <w:rsid w:val="00DB748F"/>
    <w:rsid w:val="00DC0277"/>
    <w:rsid w:val="00DC4C4A"/>
    <w:rsid w:val="00DC7901"/>
    <w:rsid w:val="00DE1970"/>
    <w:rsid w:val="00DF7160"/>
    <w:rsid w:val="00E009ED"/>
    <w:rsid w:val="00E0348C"/>
    <w:rsid w:val="00E07428"/>
    <w:rsid w:val="00E14592"/>
    <w:rsid w:val="00E21904"/>
    <w:rsid w:val="00E23288"/>
    <w:rsid w:val="00E24494"/>
    <w:rsid w:val="00E2459D"/>
    <w:rsid w:val="00E359F8"/>
    <w:rsid w:val="00E3746B"/>
    <w:rsid w:val="00E424B9"/>
    <w:rsid w:val="00E50B16"/>
    <w:rsid w:val="00E50DF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13782"/>
    <w:rsid w:val="00F21C92"/>
    <w:rsid w:val="00F2674C"/>
    <w:rsid w:val="00F45216"/>
    <w:rsid w:val="00F458C9"/>
    <w:rsid w:val="00F52D3A"/>
    <w:rsid w:val="00F5365D"/>
    <w:rsid w:val="00F57E2D"/>
    <w:rsid w:val="00F64263"/>
    <w:rsid w:val="00F76C12"/>
    <w:rsid w:val="00F83218"/>
    <w:rsid w:val="00F928B8"/>
    <w:rsid w:val="00F92E5C"/>
    <w:rsid w:val="00F97E8A"/>
    <w:rsid w:val="00FA7506"/>
    <w:rsid w:val="00FC7D8B"/>
    <w:rsid w:val="00FE137F"/>
    <w:rsid w:val="00FE2563"/>
    <w:rsid w:val="00FE3752"/>
    <w:rsid w:val="00FE4179"/>
    <w:rsid w:val="00FF6D99"/>
    <w:rsid w:val="04D47125"/>
    <w:rsid w:val="06FA60AE"/>
    <w:rsid w:val="07C9435C"/>
    <w:rsid w:val="0915986D"/>
    <w:rsid w:val="0AAB1673"/>
    <w:rsid w:val="0C4A0621"/>
    <w:rsid w:val="0CAA78FD"/>
    <w:rsid w:val="0D24A85D"/>
    <w:rsid w:val="0DA3471D"/>
    <w:rsid w:val="10AFE5A7"/>
    <w:rsid w:val="115F7D87"/>
    <w:rsid w:val="11D67B93"/>
    <w:rsid w:val="12DAD449"/>
    <w:rsid w:val="15C893F6"/>
    <w:rsid w:val="181471B0"/>
    <w:rsid w:val="1930D010"/>
    <w:rsid w:val="1982F0C6"/>
    <w:rsid w:val="1B3B06ED"/>
    <w:rsid w:val="1B84BD2F"/>
    <w:rsid w:val="1C2A5E10"/>
    <w:rsid w:val="1C90F45F"/>
    <w:rsid w:val="1D96C08A"/>
    <w:rsid w:val="1E1C38FF"/>
    <w:rsid w:val="2139CF6F"/>
    <w:rsid w:val="218AE73B"/>
    <w:rsid w:val="23C9B934"/>
    <w:rsid w:val="26233CF5"/>
    <w:rsid w:val="283BF9B4"/>
    <w:rsid w:val="2B48E5BC"/>
    <w:rsid w:val="2D933A9B"/>
    <w:rsid w:val="2F2AFB7C"/>
    <w:rsid w:val="30739B77"/>
    <w:rsid w:val="317F071A"/>
    <w:rsid w:val="318BB30A"/>
    <w:rsid w:val="31C644B0"/>
    <w:rsid w:val="32F73EEC"/>
    <w:rsid w:val="34CF12B0"/>
    <w:rsid w:val="34E21073"/>
    <w:rsid w:val="355F9F82"/>
    <w:rsid w:val="38058D87"/>
    <w:rsid w:val="3AB7F479"/>
    <w:rsid w:val="3E09BD38"/>
    <w:rsid w:val="3E10FDFF"/>
    <w:rsid w:val="3F5919F5"/>
    <w:rsid w:val="413585F1"/>
    <w:rsid w:val="4149E1BA"/>
    <w:rsid w:val="4191D138"/>
    <w:rsid w:val="41AF3F5B"/>
    <w:rsid w:val="42C28D4E"/>
    <w:rsid w:val="434BEBF9"/>
    <w:rsid w:val="46324267"/>
    <w:rsid w:val="48D2BAAE"/>
    <w:rsid w:val="499DBD21"/>
    <w:rsid w:val="4A114B61"/>
    <w:rsid w:val="4A28E1D1"/>
    <w:rsid w:val="4A3C53DD"/>
    <w:rsid w:val="4A74EF66"/>
    <w:rsid w:val="4B80665D"/>
    <w:rsid w:val="4D32B928"/>
    <w:rsid w:val="4EEAA104"/>
    <w:rsid w:val="50EF8E99"/>
    <w:rsid w:val="50F68A4E"/>
    <w:rsid w:val="517E609D"/>
    <w:rsid w:val="535F8A5F"/>
    <w:rsid w:val="53B6A17E"/>
    <w:rsid w:val="560D3214"/>
    <w:rsid w:val="5623A9C0"/>
    <w:rsid w:val="565976AD"/>
    <w:rsid w:val="565F8E6B"/>
    <w:rsid w:val="573AB616"/>
    <w:rsid w:val="5809214F"/>
    <w:rsid w:val="5813B40B"/>
    <w:rsid w:val="58D1BD69"/>
    <w:rsid w:val="5A1B3D27"/>
    <w:rsid w:val="5D0CE08D"/>
    <w:rsid w:val="5D8E1420"/>
    <w:rsid w:val="5DB8636D"/>
    <w:rsid w:val="61687E34"/>
    <w:rsid w:val="6202EDA6"/>
    <w:rsid w:val="63159849"/>
    <w:rsid w:val="65B37CBA"/>
    <w:rsid w:val="6933A9B6"/>
    <w:rsid w:val="6A6C775A"/>
    <w:rsid w:val="6BB623D7"/>
    <w:rsid w:val="7298D361"/>
    <w:rsid w:val="72ABD584"/>
    <w:rsid w:val="73AB4AA4"/>
    <w:rsid w:val="740E450B"/>
    <w:rsid w:val="757CB8FE"/>
    <w:rsid w:val="75BCDDE4"/>
    <w:rsid w:val="75FD9AC3"/>
    <w:rsid w:val="7653CF64"/>
    <w:rsid w:val="766E5960"/>
    <w:rsid w:val="7BBCC145"/>
    <w:rsid w:val="7C39ABA8"/>
    <w:rsid w:val="7DA317DD"/>
    <w:rsid w:val="7DBB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hAnsiTheme="minorHAnsi"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hAnsiTheme="minorHAnsi"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hAnsiTheme="minorHAnsi"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hAnsiTheme="minorHAnsi"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hAnsiTheme="minorHAnsi" w:eastAsiaTheme="majorEastAsia" w:cstheme="majorBidi"/>
      <w:color w:val="272727" w:themeColor="text1" w:themeTint="D8"/>
      <w:kern w:val="2"/>
      <w:sz w:val="2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19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19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8D19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19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19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19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19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8D19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styleId="QuoteChar" w:customStyle="1">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styleId="IntenseQuoteChar" w:customStyle="1">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styleId="CommentTextChar" w:customStyle="1">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6533">
      <w:bodyDiv w:val="1"/>
      <w:marLeft w:val="0"/>
      <w:marRight w:val="0"/>
      <w:marTop w:val="0"/>
      <w:marBottom w:val="0"/>
      <w:divBdr>
        <w:top w:val="none" w:sz="0" w:space="0" w:color="auto"/>
        <w:left w:val="none" w:sz="0" w:space="0" w:color="auto"/>
        <w:bottom w:val="none" w:sz="0" w:space="0" w:color="auto"/>
        <w:right w:val="none" w:sz="0" w:space="0" w:color="auto"/>
      </w:divBdr>
    </w:div>
    <w:div w:id="356464023">
      <w:bodyDiv w:val="1"/>
      <w:marLeft w:val="0"/>
      <w:marRight w:val="0"/>
      <w:marTop w:val="0"/>
      <w:marBottom w:val="0"/>
      <w:divBdr>
        <w:top w:val="none" w:sz="0" w:space="0" w:color="auto"/>
        <w:left w:val="none" w:sz="0" w:space="0" w:color="auto"/>
        <w:bottom w:val="none" w:sz="0" w:space="0" w:color="auto"/>
        <w:right w:val="none" w:sz="0" w:space="0" w:color="auto"/>
      </w:divBdr>
    </w:div>
    <w:div w:id="453597475">
      <w:bodyDiv w:val="1"/>
      <w:marLeft w:val="0"/>
      <w:marRight w:val="0"/>
      <w:marTop w:val="0"/>
      <w:marBottom w:val="0"/>
      <w:divBdr>
        <w:top w:val="none" w:sz="0" w:space="0" w:color="auto"/>
        <w:left w:val="none" w:sz="0" w:space="0" w:color="auto"/>
        <w:bottom w:val="none" w:sz="0" w:space="0" w:color="auto"/>
        <w:right w:val="none" w:sz="0" w:space="0" w:color="auto"/>
      </w:divBdr>
    </w:div>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140801692">
      <w:bodyDiv w:val="1"/>
      <w:marLeft w:val="0"/>
      <w:marRight w:val="0"/>
      <w:marTop w:val="0"/>
      <w:marBottom w:val="0"/>
      <w:divBdr>
        <w:top w:val="none" w:sz="0" w:space="0" w:color="auto"/>
        <w:left w:val="none" w:sz="0" w:space="0" w:color="auto"/>
        <w:bottom w:val="none" w:sz="0" w:space="0" w:color="auto"/>
        <w:right w:val="none" w:sz="0" w:space="0" w:color="auto"/>
      </w:divBdr>
    </w:div>
    <w:div w:id="1653025377">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865708097">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ublications.knightfrank.com/the-rural-report/ss25/" TargetMode="External" Id="R028d026dd3034dd7"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AD6E2F6-B103-40A3-9873-F7E0536C7D12}"/>
</file>

<file path=customXml/itemProps3.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customXml/itemProps4.xml><?xml version="1.0" encoding="utf-8"?>
<ds:datastoreItem xmlns:ds="http://schemas.openxmlformats.org/officeDocument/2006/customXml" ds:itemID="{256C982F-B4C6-4F2E-8C37-3BEBC0B30D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Rose Moggach</lastModifiedBy>
  <revision>9</revision>
  <dcterms:created xsi:type="dcterms:W3CDTF">2025-05-28T20:03:00.0000000Z</dcterms:created>
  <dcterms:modified xsi:type="dcterms:W3CDTF">2025-06-04T05:47:51.0933447Z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