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05F5DAE1"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3DCF4312" w:rsidR="004E6634" w:rsidRPr="007F0DFC" w:rsidRDefault="003B758D" w:rsidP="00A17138">
            <w:pPr>
              <w:pStyle w:val="Titel1"/>
              <w:widowControl w:val="0"/>
              <w:spacing w:before="240" w:after="120" w:line="240" w:lineRule="auto"/>
              <w:ind w:right="0"/>
              <w:rPr>
                <w:b/>
                <w:sz w:val="60"/>
                <w:szCs w:val="60"/>
                <w:lang w:val="en-GB"/>
              </w:rPr>
            </w:pPr>
            <w:r>
              <w:rPr>
                <w:b/>
                <w:sz w:val="60"/>
                <w:szCs w:val="60"/>
                <w:lang w:val="en-GB"/>
              </w:rPr>
              <w:t>Blight control</w:t>
            </w:r>
            <w:r w:rsidR="00601D87">
              <w:rPr>
                <w:b/>
                <w:sz w:val="60"/>
                <w:szCs w:val="60"/>
                <w:lang w:val="en-GB"/>
              </w:rPr>
              <w:t xml:space="preserve"> </w:t>
            </w:r>
            <w:r>
              <w:rPr>
                <w:b/>
                <w:sz w:val="60"/>
                <w:szCs w:val="60"/>
                <w:lang w:val="en-GB"/>
              </w:rPr>
              <w:t xml:space="preserve">for </w:t>
            </w:r>
            <w:r w:rsidR="00601D87">
              <w:rPr>
                <w:b/>
                <w:sz w:val="60"/>
                <w:szCs w:val="60"/>
                <w:lang w:val="en-GB"/>
              </w:rPr>
              <w:t>today and tomorrow</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213BD6BA" w14:textId="6D95C866" w:rsidR="003B758D" w:rsidRDefault="003B758D" w:rsidP="00742F50">
      <w:pPr>
        <w:pStyle w:val="FormatStandard"/>
        <w:widowControl w:val="0"/>
        <w:ind w:right="0"/>
        <w:rPr>
          <w:lang w:val="en-GB"/>
        </w:rPr>
      </w:pPr>
      <w:r>
        <w:rPr>
          <w:lang w:val="en-GB"/>
        </w:rPr>
        <w:t>Blight is the bane of potato growing and experts warn that, long-term, pressure in the UK is only set to rise.  We asked a specialist agronomist, a grower and a crop protection manufacturer about best-practice now and in the future</w:t>
      </w:r>
    </w:p>
    <w:p w14:paraId="40D63C6E" w14:textId="372F67D2" w:rsidR="00742F50" w:rsidRDefault="003B758D" w:rsidP="00742F50">
      <w:pPr>
        <w:pStyle w:val="FormatStandard"/>
        <w:widowControl w:val="0"/>
        <w:ind w:right="0"/>
        <w:rPr>
          <w:lang w:val="en-GB"/>
        </w:rPr>
      </w:pPr>
      <w:r>
        <w:rPr>
          <w:lang w:val="en-GB"/>
        </w:rPr>
        <w:t>T</w:t>
      </w:r>
      <w:r w:rsidR="00020C79">
        <w:rPr>
          <w:lang w:val="en-GB"/>
        </w:rPr>
        <w:t>ogether with his business partner</w:t>
      </w:r>
      <w:r>
        <w:rPr>
          <w:lang w:val="en-GB"/>
        </w:rPr>
        <w:t xml:space="preserve"> at</w:t>
      </w:r>
      <w:r w:rsidR="00020C79">
        <w:rPr>
          <w:lang w:val="en-GB"/>
        </w:rPr>
        <w:t xml:space="preserve"> Spud Agronomy, </w:t>
      </w:r>
      <w:r>
        <w:rPr>
          <w:lang w:val="en-GB"/>
        </w:rPr>
        <w:t xml:space="preserve">John </w:t>
      </w:r>
      <w:proofErr w:type="spellStart"/>
      <w:r>
        <w:rPr>
          <w:lang w:val="en-GB"/>
        </w:rPr>
        <w:t>Sarup</w:t>
      </w:r>
      <w:proofErr w:type="spellEnd"/>
      <w:r>
        <w:rPr>
          <w:lang w:val="en-GB"/>
        </w:rPr>
        <w:t>, is</w:t>
      </w:r>
      <w:r w:rsidR="00020C79">
        <w:rPr>
          <w:lang w:val="en-GB"/>
        </w:rPr>
        <w:t xml:space="preserve"> responsible for over 11,000 acres of potatoes across Northern England up to the Scottish Borders.  </w:t>
      </w:r>
    </w:p>
    <w:p w14:paraId="31A66ACB" w14:textId="0719F871" w:rsidR="00020C79" w:rsidRDefault="00020C79" w:rsidP="00742F50">
      <w:pPr>
        <w:pStyle w:val="FormatStandard"/>
        <w:widowControl w:val="0"/>
        <w:ind w:right="0"/>
        <w:rPr>
          <w:lang w:val="en-GB"/>
        </w:rPr>
      </w:pPr>
      <w:r>
        <w:rPr>
          <w:lang w:val="en-GB"/>
        </w:rPr>
        <w:t>“G</w:t>
      </w:r>
      <w:r w:rsidRPr="00020C79">
        <w:rPr>
          <w:lang w:val="en-GB"/>
        </w:rPr>
        <w:t>etting to the source of the inoculum is key</w:t>
      </w:r>
      <w:r w:rsidR="004B5D12">
        <w:rPr>
          <w:lang w:val="en-GB"/>
        </w:rPr>
        <w:t>,” he says.</w:t>
      </w:r>
      <w:r>
        <w:rPr>
          <w:lang w:val="en-GB"/>
        </w:rPr>
        <w:t xml:space="preserve"> </w:t>
      </w:r>
      <w:r w:rsidR="004B5D12">
        <w:rPr>
          <w:lang w:val="en-GB"/>
        </w:rPr>
        <w:t>“</w:t>
      </w:r>
      <w:r>
        <w:rPr>
          <w:lang w:val="en-GB"/>
        </w:rPr>
        <w:t xml:space="preserve">Usually that’s about controlling </w:t>
      </w:r>
      <w:r w:rsidRPr="00020C79">
        <w:rPr>
          <w:lang w:val="en-GB"/>
        </w:rPr>
        <w:t xml:space="preserve">volunteers, and </w:t>
      </w:r>
      <w:r>
        <w:rPr>
          <w:lang w:val="en-GB"/>
        </w:rPr>
        <w:t xml:space="preserve">growth on </w:t>
      </w:r>
      <w:r w:rsidRPr="00020C79">
        <w:rPr>
          <w:lang w:val="en-GB"/>
        </w:rPr>
        <w:t>potato dumps</w:t>
      </w:r>
      <w:r>
        <w:rPr>
          <w:lang w:val="en-GB"/>
        </w:rPr>
        <w:t xml:space="preserve">. With the loss of CIPC, we’re turning to </w:t>
      </w:r>
      <w:hyperlink r:id="rId11" w:history="1">
        <w:r>
          <w:rPr>
            <w:lang w:val="en-GB"/>
          </w:rPr>
          <w:t>m</w:t>
        </w:r>
        <w:r w:rsidRPr="00020C79">
          <w:rPr>
            <w:lang w:val="en-GB"/>
          </w:rPr>
          <w:t>aleic hydroxide</w:t>
        </w:r>
      </w:hyperlink>
      <w:r>
        <w:rPr>
          <w:lang w:val="en-GB"/>
        </w:rPr>
        <w:t xml:space="preserve">, </w:t>
      </w:r>
      <w:r w:rsidR="00A73355">
        <w:rPr>
          <w:lang w:val="en-GB"/>
        </w:rPr>
        <w:t xml:space="preserve">a sprout suppressant, </w:t>
      </w:r>
      <w:r>
        <w:rPr>
          <w:lang w:val="en-GB"/>
        </w:rPr>
        <w:t>which is an effective active for controlling volunteers</w:t>
      </w:r>
      <w:r w:rsidR="00A73355">
        <w:rPr>
          <w:lang w:val="en-GB"/>
        </w:rPr>
        <w:t>.</w:t>
      </w:r>
    </w:p>
    <w:p w14:paraId="3229D15B" w14:textId="5E176235" w:rsidR="00A73355" w:rsidRDefault="00A73355" w:rsidP="00A73355">
      <w:pPr>
        <w:pStyle w:val="FormatStandard"/>
        <w:widowControl w:val="0"/>
        <w:ind w:right="0"/>
        <w:rPr>
          <w:lang w:val="en-GB"/>
        </w:rPr>
      </w:pPr>
      <w:r>
        <w:rPr>
          <w:lang w:val="en-GB"/>
        </w:rPr>
        <w:t xml:space="preserve">“The next step is </w:t>
      </w:r>
      <w:r w:rsidR="004B5D12">
        <w:rPr>
          <w:lang w:val="en-GB"/>
        </w:rPr>
        <w:t xml:space="preserve">understanding </w:t>
      </w:r>
      <w:r>
        <w:rPr>
          <w:lang w:val="en-GB"/>
        </w:rPr>
        <w:t xml:space="preserve">which genotypes you’re dealing with. As soon as blight appears in your crop, take a sample and send it in via the ‘Fight again Blight’ initiative. It will help you make informed </w:t>
      </w:r>
      <w:r w:rsidRPr="00020C79">
        <w:rPr>
          <w:lang w:val="en-GB"/>
        </w:rPr>
        <w:t>decisions about what products you can use safely without causing any</w:t>
      </w:r>
      <w:r>
        <w:rPr>
          <w:lang w:val="en-GB"/>
        </w:rPr>
        <w:t xml:space="preserve"> resistance</w:t>
      </w:r>
      <w:r w:rsidRPr="00020C79">
        <w:rPr>
          <w:lang w:val="en-GB"/>
        </w:rPr>
        <w:t xml:space="preserve"> issues.</w:t>
      </w:r>
      <w:r w:rsidR="004B5D12">
        <w:rPr>
          <w:lang w:val="en-GB"/>
        </w:rPr>
        <w:t>”</w:t>
      </w:r>
    </w:p>
    <w:p w14:paraId="256EF71C" w14:textId="090CF318" w:rsidR="00A73355" w:rsidRDefault="00A73355" w:rsidP="00A73355">
      <w:pPr>
        <w:pStyle w:val="FormatStandard"/>
        <w:widowControl w:val="0"/>
        <w:ind w:right="0"/>
        <w:rPr>
          <w:lang w:val="en-GB"/>
        </w:rPr>
      </w:pPr>
      <w:r>
        <w:rPr>
          <w:lang w:val="en-GB"/>
        </w:rPr>
        <w:t xml:space="preserve">Despite the delayed start to this year’s season, </w:t>
      </w:r>
      <w:r w:rsidR="008327CE">
        <w:rPr>
          <w:lang w:val="en-GB"/>
        </w:rPr>
        <w:t xml:space="preserve">AHDB have </w:t>
      </w:r>
      <w:r>
        <w:rPr>
          <w:lang w:val="en-GB"/>
        </w:rPr>
        <w:t xml:space="preserve">already </w:t>
      </w:r>
      <w:r w:rsidR="008327CE">
        <w:rPr>
          <w:lang w:val="en-GB"/>
        </w:rPr>
        <w:t xml:space="preserve">recorded </w:t>
      </w:r>
      <w:r>
        <w:rPr>
          <w:lang w:val="en-GB"/>
        </w:rPr>
        <w:t xml:space="preserve">the </w:t>
      </w:r>
      <w:r w:rsidR="008327CE">
        <w:rPr>
          <w:lang w:val="en-GB"/>
        </w:rPr>
        <w:t>first incidence of 2021.  Several patches of the disease were seen in a crop of Maris Peer in Kent when the sample was collected on 26th May. Overall, John describes the current pressure further north as ‘low’.</w:t>
      </w:r>
    </w:p>
    <w:p w14:paraId="009EAA50" w14:textId="52FD50E6" w:rsidR="00B52842" w:rsidRDefault="008327CE" w:rsidP="00A73355">
      <w:pPr>
        <w:pStyle w:val="FormatStandard"/>
        <w:widowControl w:val="0"/>
        <w:ind w:right="0"/>
        <w:rPr>
          <w:lang w:val="en-GB"/>
        </w:rPr>
      </w:pPr>
      <w:r>
        <w:rPr>
          <w:lang w:val="en-GB"/>
        </w:rPr>
        <w:lastRenderedPageBreak/>
        <w:t>“</w:t>
      </w:r>
      <w:r w:rsidR="004B5D12">
        <w:rPr>
          <w:lang w:val="en-GB"/>
        </w:rPr>
        <w:t>S</w:t>
      </w:r>
      <w:r>
        <w:rPr>
          <w:lang w:val="en-GB"/>
        </w:rPr>
        <w:t>oils have been so cold and wet</w:t>
      </w:r>
      <w:r w:rsidR="004B5D12">
        <w:rPr>
          <w:lang w:val="en-GB"/>
        </w:rPr>
        <w:t xml:space="preserve"> that generally speaking, we’re two to three weeks behind</w:t>
      </w:r>
      <w:r>
        <w:rPr>
          <w:lang w:val="en-GB"/>
        </w:rPr>
        <w:t>.  Crops are now growing very quickly but they are dry.  Even at night there doesn’t seem to be too much leaf wetness.  I’ve some early crops in Cheshire which have relatively large canopies at 50% ground cover and we’ve start</w:t>
      </w:r>
      <w:r w:rsidR="004B5D12">
        <w:rPr>
          <w:lang w:val="en-GB"/>
        </w:rPr>
        <w:t>ed</w:t>
      </w:r>
      <w:r>
        <w:rPr>
          <w:lang w:val="en-GB"/>
        </w:rPr>
        <w:t xml:space="preserve"> applications.  Currently it’s about preventing the development of blight, but as the crop moves into rapid growth stage that’s when we’ll start with products that protect the growing point.</w:t>
      </w:r>
      <w:r w:rsidR="00B52842">
        <w:rPr>
          <w:lang w:val="en-GB"/>
        </w:rPr>
        <w:t>”</w:t>
      </w:r>
    </w:p>
    <w:p w14:paraId="6B7AC3DB" w14:textId="26D966B3" w:rsidR="00B52842" w:rsidRDefault="00B52842" w:rsidP="00A73355">
      <w:pPr>
        <w:pStyle w:val="FormatStandard"/>
        <w:widowControl w:val="0"/>
        <w:ind w:right="0"/>
        <w:rPr>
          <w:lang w:val="en-GB"/>
        </w:rPr>
      </w:pPr>
      <w:r>
        <w:rPr>
          <w:lang w:val="en-GB"/>
        </w:rPr>
        <w:t xml:space="preserve">John adapts fungicide programmes based on a variety factors, including </w:t>
      </w:r>
      <w:r w:rsidR="004B5D12">
        <w:rPr>
          <w:lang w:val="en-GB"/>
        </w:rPr>
        <w:t xml:space="preserve">product performance and </w:t>
      </w:r>
      <w:r>
        <w:rPr>
          <w:lang w:val="en-GB"/>
        </w:rPr>
        <w:t>cost.</w:t>
      </w:r>
    </w:p>
    <w:p w14:paraId="614F0F6B" w14:textId="64E7F112" w:rsidR="00B52842" w:rsidRDefault="00B52842" w:rsidP="00A73355">
      <w:pPr>
        <w:pStyle w:val="FormatStandard"/>
        <w:widowControl w:val="0"/>
        <w:ind w:right="0"/>
        <w:rPr>
          <w:lang w:val="en-GB"/>
        </w:rPr>
      </w:pPr>
      <w:r>
        <w:rPr>
          <w:lang w:val="en-GB"/>
        </w:rPr>
        <w:t xml:space="preserve">“You’ve got to look at the strengths and weaknesses of products and use products when they are likely to be most effective. </w:t>
      </w:r>
      <w:r w:rsidR="00135569">
        <w:rPr>
          <w:lang w:val="en-GB"/>
        </w:rPr>
        <w:t xml:space="preserve"> For example,</w:t>
      </w:r>
      <w:r>
        <w:rPr>
          <w:lang w:val="en-GB"/>
        </w:rPr>
        <w:t xml:space="preserve"> </w:t>
      </w:r>
      <w:r w:rsidR="00135569">
        <w:rPr>
          <w:lang w:val="en-GB"/>
        </w:rPr>
        <w:t>s</w:t>
      </w:r>
      <w:r>
        <w:rPr>
          <w:lang w:val="en-GB"/>
        </w:rPr>
        <w:t>ome perform well on tuber blight and are effective at preventing spores dropping onto leaves, systemic products are generally more effective during rapid growth when you’ve new leaves every two or three days, while other products are better at stable canopy because the</w:t>
      </w:r>
      <w:r w:rsidR="004B5D12">
        <w:rPr>
          <w:lang w:val="en-GB"/>
        </w:rPr>
        <w:t>y</w:t>
      </w:r>
      <w:r>
        <w:rPr>
          <w:lang w:val="en-GB"/>
        </w:rPr>
        <w:t xml:space="preserve"> are purely a protectant.” </w:t>
      </w:r>
    </w:p>
    <w:p w14:paraId="689FD586" w14:textId="420BBFEF" w:rsidR="00B52842" w:rsidRDefault="00B52842" w:rsidP="00A73355">
      <w:pPr>
        <w:pStyle w:val="FormatStandard"/>
        <w:widowControl w:val="0"/>
        <w:ind w:right="0"/>
        <w:rPr>
          <w:lang w:val="en-GB"/>
        </w:rPr>
      </w:pPr>
      <w:r>
        <w:rPr>
          <w:lang w:val="en-GB"/>
        </w:rPr>
        <w:t xml:space="preserve">With fewer products available and the need to adjust fungicide programmes according to weather conditions, growth stage and disease profile, John welcomes new products such as </w:t>
      </w:r>
      <w:proofErr w:type="spellStart"/>
      <w:r>
        <w:rPr>
          <w:lang w:val="en-GB"/>
        </w:rPr>
        <w:t>Enervin</w:t>
      </w:r>
      <w:proofErr w:type="spellEnd"/>
      <w:r>
        <w:rPr>
          <w:lang w:val="en-GB"/>
        </w:rPr>
        <w:t xml:space="preserve"> SC</w:t>
      </w:r>
      <w:r w:rsidR="008B6EFA">
        <w:rPr>
          <w:rFonts w:cs="Arial"/>
          <w:lang w:val="en-GB"/>
        </w:rPr>
        <w:t>®</w:t>
      </w:r>
      <w:r>
        <w:rPr>
          <w:lang w:val="en-GB"/>
        </w:rPr>
        <w:t xml:space="preserve">. </w:t>
      </w:r>
    </w:p>
    <w:p w14:paraId="0D5EC023" w14:textId="4D9C7517" w:rsidR="00135569" w:rsidRPr="002805F4" w:rsidRDefault="00135569" w:rsidP="00135569">
      <w:pPr>
        <w:spacing w:line="360" w:lineRule="auto"/>
        <w:rPr>
          <w:rFonts w:eastAsia="Calibri" w:cs="Times New Roman"/>
          <w:sz w:val="24"/>
          <w:szCs w:val="24"/>
          <w:lang w:val="en-GB"/>
        </w:rPr>
      </w:pPr>
      <w:r>
        <w:rPr>
          <w:rFonts w:eastAsia="Calibri" w:cs="Times New Roman"/>
          <w:sz w:val="24"/>
          <w:szCs w:val="24"/>
          <w:lang w:val="en-GB"/>
        </w:rPr>
        <w:t>“Growers and agronomists certainly have a challenge when it comes to protecting crops without exceeding maximum applications of a given product, or of an active ingredient dosage</w:t>
      </w:r>
      <w:r w:rsidR="00F53EDF">
        <w:rPr>
          <w:rFonts w:eastAsia="Calibri" w:cs="Times New Roman"/>
          <w:sz w:val="24"/>
          <w:szCs w:val="24"/>
          <w:lang w:val="en-GB"/>
        </w:rPr>
        <w:t>,” says Matthew Goodson, specialities market manager at BASF.</w:t>
      </w:r>
      <w:r>
        <w:rPr>
          <w:rFonts w:eastAsia="Calibri" w:cs="Times New Roman"/>
          <w:sz w:val="24"/>
          <w:szCs w:val="24"/>
          <w:lang w:val="en-GB"/>
        </w:rPr>
        <w:t xml:space="preserve"> </w:t>
      </w:r>
      <w:r w:rsidR="00F53EDF">
        <w:rPr>
          <w:rFonts w:eastAsia="Calibri" w:cs="Times New Roman"/>
          <w:sz w:val="24"/>
          <w:szCs w:val="24"/>
          <w:lang w:val="en-GB"/>
        </w:rPr>
        <w:t>“</w:t>
      </w:r>
      <w:r>
        <w:rPr>
          <w:rFonts w:eastAsia="Calibri" w:cs="Times New Roman"/>
          <w:sz w:val="24"/>
          <w:szCs w:val="24"/>
          <w:lang w:val="en-GB"/>
        </w:rPr>
        <w:t xml:space="preserve">It’s why we have developed our latest blight product, </w:t>
      </w:r>
      <w:proofErr w:type="spellStart"/>
      <w:r w:rsidRPr="002805F4">
        <w:rPr>
          <w:rFonts w:eastAsia="Calibri" w:cs="Times New Roman"/>
          <w:sz w:val="24"/>
          <w:szCs w:val="24"/>
          <w:lang w:val="en-GB"/>
        </w:rPr>
        <w:t>Enervin</w:t>
      </w:r>
      <w:proofErr w:type="spellEnd"/>
      <w:r w:rsidRPr="002805F4">
        <w:rPr>
          <w:rFonts w:eastAsia="Calibri" w:cs="Times New Roman"/>
          <w:sz w:val="24"/>
          <w:szCs w:val="24"/>
          <w:lang w:val="en-GB"/>
        </w:rPr>
        <w:t xml:space="preserve"> SC</w:t>
      </w:r>
      <w:r>
        <w:rPr>
          <w:rFonts w:eastAsia="Calibri" w:cs="Arial"/>
          <w:sz w:val="24"/>
          <w:szCs w:val="24"/>
          <w:lang w:val="en-GB"/>
        </w:rPr>
        <w:t>®,</w:t>
      </w:r>
      <w:r w:rsidRPr="002805F4">
        <w:rPr>
          <w:rFonts w:eastAsia="Calibri" w:cs="Times New Roman"/>
          <w:sz w:val="24"/>
          <w:szCs w:val="24"/>
          <w:lang w:val="en-GB"/>
        </w:rPr>
        <w:t xml:space="preserve"> as a straight formulation</w:t>
      </w:r>
      <w:r>
        <w:rPr>
          <w:rFonts w:eastAsia="Calibri" w:cs="Times New Roman"/>
          <w:sz w:val="24"/>
          <w:szCs w:val="24"/>
          <w:lang w:val="en-GB"/>
        </w:rPr>
        <w:t>; it gives producers flexibility</w:t>
      </w:r>
      <w:r w:rsidR="00F53EDF">
        <w:rPr>
          <w:rFonts w:eastAsia="Calibri" w:cs="Times New Roman"/>
          <w:sz w:val="24"/>
          <w:szCs w:val="24"/>
          <w:lang w:val="en-GB"/>
        </w:rPr>
        <w:t xml:space="preserve"> and potentially, simplifies programme planning for growers and agronomists.”</w:t>
      </w:r>
    </w:p>
    <w:p w14:paraId="06FDA8E7" w14:textId="5AC16E89" w:rsidR="00135569" w:rsidRDefault="00135569" w:rsidP="00135569">
      <w:pPr>
        <w:spacing w:line="360" w:lineRule="auto"/>
        <w:rPr>
          <w:rFonts w:cs="Times New Roman"/>
          <w:lang w:val="en-GB"/>
        </w:rPr>
      </w:pPr>
    </w:p>
    <w:p w14:paraId="4C456382" w14:textId="1CEC896A" w:rsidR="00135569" w:rsidRDefault="008B6EFA" w:rsidP="00135569">
      <w:pPr>
        <w:spacing w:line="360" w:lineRule="auto"/>
        <w:rPr>
          <w:rFonts w:eastAsia="Calibri" w:cs="Times New Roman"/>
          <w:sz w:val="24"/>
          <w:szCs w:val="24"/>
          <w:lang w:val="en-GB"/>
        </w:rPr>
      </w:pPr>
      <w:proofErr w:type="spellStart"/>
      <w:r w:rsidRPr="008B6EFA">
        <w:rPr>
          <w:rFonts w:eastAsia="Calibri" w:cs="Times New Roman"/>
          <w:sz w:val="24"/>
          <w:szCs w:val="24"/>
          <w:lang w:val="en-GB"/>
        </w:rPr>
        <w:t>Enervin</w:t>
      </w:r>
      <w:proofErr w:type="spellEnd"/>
      <w:r w:rsidRPr="008B6EFA">
        <w:rPr>
          <w:rFonts w:eastAsia="Calibri" w:cs="Times New Roman"/>
          <w:sz w:val="24"/>
          <w:szCs w:val="24"/>
          <w:lang w:val="en-GB"/>
        </w:rPr>
        <w:t xml:space="preserve"> SC®</w:t>
      </w:r>
      <w:r w:rsidR="00135569" w:rsidRPr="008B6EFA">
        <w:rPr>
          <w:rFonts w:eastAsia="Calibri" w:cs="Times New Roman"/>
          <w:sz w:val="24"/>
          <w:szCs w:val="24"/>
          <w:lang w:val="en-GB"/>
        </w:rPr>
        <w:t xml:space="preserve"> </w:t>
      </w:r>
      <w:r w:rsidR="00135569">
        <w:rPr>
          <w:rFonts w:eastAsia="Calibri" w:cs="Times New Roman"/>
          <w:sz w:val="24"/>
          <w:szCs w:val="24"/>
          <w:lang w:val="en-GB"/>
        </w:rPr>
        <w:t xml:space="preserve">is </w:t>
      </w:r>
      <w:r w:rsidR="00135569" w:rsidRPr="005A3605">
        <w:rPr>
          <w:rFonts w:eastAsia="Calibri" w:cs="Times New Roman"/>
          <w:sz w:val="24"/>
          <w:szCs w:val="24"/>
          <w:lang w:val="en-GB"/>
        </w:rPr>
        <w:t xml:space="preserve">the first straight formulation of </w:t>
      </w:r>
      <w:proofErr w:type="spellStart"/>
      <w:r w:rsidR="00135569" w:rsidRPr="005A3605">
        <w:rPr>
          <w:rFonts w:eastAsia="Calibri" w:cs="Times New Roman"/>
          <w:sz w:val="24"/>
          <w:szCs w:val="24"/>
          <w:lang w:val="en-GB"/>
        </w:rPr>
        <w:t>ametoctradin</w:t>
      </w:r>
      <w:proofErr w:type="spellEnd"/>
      <w:r w:rsidR="00F53EDF">
        <w:rPr>
          <w:rFonts w:eastAsia="Calibri" w:cs="Times New Roman"/>
          <w:sz w:val="24"/>
          <w:szCs w:val="24"/>
          <w:lang w:val="en-GB"/>
        </w:rPr>
        <w:t xml:space="preserve">, an active ingredient that sits in the </w:t>
      </w:r>
      <w:proofErr w:type="spellStart"/>
      <w:r w:rsidR="00135569" w:rsidRPr="00974CC0">
        <w:rPr>
          <w:rFonts w:eastAsia="Calibri" w:cs="Times New Roman"/>
          <w:sz w:val="24"/>
          <w:szCs w:val="24"/>
          <w:lang w:val="en-GB"/>
        </w:rPr>
        <w:t>QoSI</w:t>
      </w:r>
      <w:proofErr w:type="spellEnd"/>
      <w:r w:rsidR="00135569">
        <w:rPr>
          <w:rFonts w:eastAsia="Calibri" w:cs="Times New Roman"/>
          <w:sz w:val="24"/>
          <w:szCs w:val="24"/>
          <w:lang w:val="en-GB"/>
        </w:rPr>
        <w:t xml:space="preserve"> chemistry</w:t>
      </w:r>
      <w:r w:rsidR="00F53EDF">
        <w:rPr>
          <w:rFonts w:eastAsia="Calibri" w:cs="Times New Roman"/>
          <w:sz w:val="24"/>
          <w:szCs w:val="24"/>
          <w:lang w:val="en-GB"/>
        </w:rPr>
        <w:t xml:space="preserve"> group</w:t>
      </w:r>
      <w:r w:rsidR="00135569">
        <w:rPr>
          <w:rFonts w:eastAsia="Calibri" w:cs="Times New Roman"/>
          <w:sz w:val="24"/>
          <w:szCs w:val="24"/>
          <w:lang w:val="en-GB"/>
        </w:rPr>
        <w:t>. It’s w</w:t>
      </w:r>
      <w:r w:rsidR="00135569" w:rsidRPr="00974CC0">
        <w:rPr>
          <w:rFonts w:eastAsia="Calibri" w:cs="Times New Roman"/>
          <w:sz w:val="24"/>
          <w:szCs w:val="24"/>
          <w:lang w:val="en-GB"/>
        </w:rPr>
        <w:t xml:space="preserve">ell suited to </w:t>
      </w:r>
      <w:r w:rsidR="00135569">
        <w:rPr>
          <w:rFonts w:eastAsia="Calibri" w:cs="Times New Roman"/>
          <w:sz w:val="24"/>
          <w:szCs w:val="24"/>
          <w:lang w:val="en-GB"/>
        </w:rPr>
        <w:t xml:space="preserve">the </w:t>
      </w:r>
      <w:r w:rsidR="00135569" w:rsidRPr="00974CC0">
        <w:rPr>
          <w:rFonts w:eastAsia="Calibri" w:cs="Times New Roman"/>
          <w:sz w:val="24"/>
          <w:szCs w:val="24"/>
          <w:lang w:val="en-GB"/>
        </w:rPr>
        <w:t>stable canopy slot</w:t>
      </w:r>
      <w:r w:rsidR="00135569">
        <w:rPr>
          <w:rFonts w:eastAsia="Calibri" w:cs="Times New Roman"/>
          <w:sz w:val="24"/>
          <w:szCs w:val="24"/>
          <w:lang w:val="en-GB"/>
        </w:rPr>
        <w:t xml:space="preserve"> and</w:t>
      </w:r>
      <w:r w:rsidR="00135569" w:rsidRPr="00974CC0">
        <w:rPr>
          <w:rFonts w:eastAsia="Calibri" w:cs="Times New Roman"/>
          <w:sz w:val="24"/>
          <w:szCs w:val="24"/>
          <w:lang w:val="en-GB"/>
        </w:rPr>
        <w:t xml:space="preserve"> </w:t>
      </w:r>
      <w:r w:rsidR="00135569">
        <w:rPr>
          <w:rFonts w:eastAsia="Calibri" w:cs="Times New Roman"/>
          <w:sz w:val="24"/>
          <w:szCs w:val="24"/>
          <w:lang w:val="en-GB"/>
        </w:rPr>
        <w:t xml:space="preserve">potentially </w:t>
      </w:r>
      <w:r w:rsidR="00135569" w:rsidRPr="00974CC0">
        <w:rPr>
          <w:rFonts w:eastAsia="Calibri" w:cs="Times New Roman"/>
          <w:sz w:val="24"/>
          <w:szCs w:val="24"/>
          <w:lang w:val="en-GB"/>
        </w:rPr>
        <w:t>free</w:t>
      </w:r>
      <w:r w:rsidR="00135569">
        <w:rPr>
          <w:rFonts w:eastAsia="Calibri" w:cs="Times New Roman"/>
          <w:sz w:val="24"/>
          <w:szCs w:val="24"/>
          <w:lang w:val="en-GB"/>
        </w:rPr>
        <w:t>s</w:t>
      </w:r>
      <w:r w:rsidR="00135569" w:rsidRPr="00974CC0">
        <w:rPr>
          <w:rFonts w:eastAsia="Calibri" w:cs="Times New Roman"/>
          <w:sz w:val="24"/>
          <w:szCs w:val="24"/>
          <w:lang w:val="en-GB"/>
        </w:rPr>
        <w:t xml:space="preserve"> up CAA </w:t>
      </w:r>
      <w:r w:rsidR="00135569">
        <w:rPr>
          <w:rFonts w:eastAsia="Calibri" w:cs="Times New Roman"/>
          <w:sz w:val="24"/>
          <w:szCs w:val="24"/>
          <w:lang w:val="en-GB"/>
        </w:rPr>
        <w:t xml:space="preserve">and </w:t>
      </w:r>
      <w:r w:rsidR="00135569" w:rsidRPr="00974CC0">
        <w:rPr>
          <w:rFonts w:eastAsia="Calibri" w:cs="Times New Roman"/>
          <w:sz w:val="24"/>
          <w:szCs w:val="24"/>
          <w:lang w:val="en-GB"/>
        </w:rPr>
        <w:t xml:space="preserve">QII chemistry for </w:t>
      </w:r>
      <w:r w:rsidR="00135569">
        <w:rPr>
          <w:rFonts w:eastAsia="Calibri" w:cs="Times New Roman"/>
          <w:sz w:val="24"/>
          <w:szCs w:val="24"/>
          <w:lang w:val="en-GB"/>
        </w:rPr>
        <w:t xml:space="preserve">use </w:t>
      </w:r>
      <w:r w:rsidR="00135569" w:rsidRPr="00974CC0">
        <w:rPr>
          <w:rFonts w:eastAsia="Calibri" w:cs="Times New Roman"/>
          <w:sz w:val="24"/>
          <w:szCs w:val="24"/>
          <w:lang w:val="en-GB"/>
        </w:rPr>
        <w:t>elsewhere in the programme.</w:t>
      </w:r>
    </w:p>
    <w:p w14:paraId="1D0757E8" w14:textId="77777777" w:rsidR="00135569" w:rsidRDefault="00135569" w:rsidP="00135569">
      <w:pPr>
        <w:spacing w:line="360" w:lineRule="auto"/>
        <w:rPr>
          <w:rFonts w:eastAsia="Calibri" w:cs="Times New Roman"/>
          <w:sz w:val="24"/>
          <w:szCs w:val="24"/>
          <w:lang w:val="en-GB"/>
        </w:rPr>
      </w:pPr>
    </w:p>
    <w:p w14:paraId="3DC4256A" w14:textId="16222D5F" w:rsidR="00135569" w:rsidRDefault="00F53EDF" w:rsidP="00135569">
      <w:pPr>
        <w:spacing w:line="360" w:lineRule="auto"/>
        <w:rPr>
          <w:rFonts w:eastAsia="Calibri" w:cs="Times New Roman"/>
          <w:sz w:val="24"/>
          <w:szCs w:val="24"/>
          <w:lang w:val="en-GB"/>
        </w:rPr>
      </w:pPr>
      <w:r>
        <w:rPr>
          <w:rFonts w:eastAsia="Calibri" w:cs="Times New Roman"/>
          <w:sz w:val="24"/>
          <w:szCs w:val="24"/>
          <w:lang w:val="en-GB"/>
        </w:rPr>
        <w:t>“</w:t>
      </w:r>
      <w:r w:rsidR="00135569" w:rsidRPr="005A3605">
        <w:rPr>
          <w:rFonts w:eastAsia="Calibri" w:cs="Times New Roman"/>
          <w:sz w:val="24"/>
          <w:szCs w:val="24"/>
          <w:lang w:val="en-GB"/>
        </w:rPr>
        <w:t>Eurofins</w:t>
      </w:r>
      <w:r>
        <w:rPr>
          <w:rFonts w:eastAsia="Calibri" w:cs="Times New Roman"/>
          <w:sz w:val="24"/>
          <w:szCs w:val="24"/>
          <w:lang w:val="en-GB"/>
        </w:rPr>
        <w:t>’</w:t>
      </w:r>
      <w:r w:rsidR="00135569" w:rsidRPr="005A3605">
        <w:rPr>
          <w:rFonts w:eastAsia="Calibri" w:cs="Times New Roman"/>
          <w:sz w:val="24"/>
          <w:szCs w:val="24"/>
          <w:lang w:val="en-GB"/>
        </w:rPr>
        <w:t xml:space="preserve"> trial</w:t>
      </w:r>
      <w:r>
        <w:rPr>
          <w:rFonts w:eastAsia="Calibri" w:cs="Times New Roman"/>
          <w:sz w:val="24"/>
          <w:szCs w:val="24"/>
          <w:lang w:val="en-GB"/>
        </w:rPr>
        <w:t>s</w:t>
      </w:r>
      <w:r w:rsidR="00135569" w:rsidRPr="005A3605">
        <w:rPr>
          <w:rFonts w:eastAsia="Calibri" w:cs="Times New Roman"/>
          <w:sz w:val="24"/>
          <w:szCs w:val="24"/>
          <w:lang w:val="en-GB"/>
        </w:rPr>
        <w:t xml:space="preserve">, </w:t>
      </w:r>
      <w:r>
        <w:rPr>
          <w:rFonts w:eastAsia="Calibri" w:cs="Times New Roman"/>
          <w:sz w:val="24"/>
          <w:szCs w:val="24"/>
          <w:lang w:val="en-GB"/>
        </w:rPr>
        <w:t xml:space="preserve">are </w:t>
      </w:r>
      <w:r w:rsidR="00135569" w:rsidRPr="005A3605">
        <w:rPr>
          <w:rFonts w:eastAsia="Calibri" w:cs="Times New Roman"/>
          <w:sz w:val="24"/>
          <w:szCs w:val="24"/>
          <w:lang w:val="en-GB"/>
        </w:rPr>
        <w:t>demonstrat</w:t>
      </w:r>
      <w:r>
        <w:rPr>
          <w:rFonts w:eastAsia="Calibri" w:cs="Times New Roman"/>
          <w:sz w:val="24"/>
          <w:szCs w:val="24"/>
          <w:lang w:val="en-GB"/>
        </w:rPr>
        <w:t>ing</w:t>
      </w:r>
      <w:r w:rsidR="00135569" w:rsidRPr="005A3605">
        <w:rPr>
          <w:rFonts w:eastAsia="Calibri" w:cs="Times New Roman"/>
          <w:sz w:val="24"/>
          <w:szCs w:val="24"/>
          <w:lang w:val="en-GB"/>
        </w:rPr>
        <w:t xml:space="preserve"> </w:t>
      </w:r>
      <w:proofErr w:type="spellStart"/>
      <w:r w:rsidR="00135569">
        <w:rPr>
          <w:rFonts w:eastAsia="Calibri" w:cs="Times New Roman"/>
          <w:sz w:val="24"/>
          <w:szCs w:val="24"/>
          <w:lang w:val="en-GB"/>
        </w:rPr>
        <w:t>Enervin</w:t>
      </w:r>
      <w:proofErr w:type="spellEnd"/>
      <w:r w:rsidR="00135569">
        <w:rPr>
          <w:rFonts w:eastAsia="Calibri" w:cs="Times New Roman"/>
          <w:sz w:val="24"/>
          <w:szCs w:val="24"/>
          <w:lang w:val="en-GB"/>
        </w:rPr>
        <w:t xml:space="preserve"> SC</w:t>
      </w:r>
      <w:r w:rsidR="00135569">
        <w:rPr>
          <w:rFonts w:eastAsia="Calibri" w:cs="Arial"/>
          <w:sz w:val="24"/>
          <w:szCs w:val="24"/>
          <w:lang w:val="en-GB"/>
        </w:rPr>
        <w:t>®</w:t>
      </w:r>
      <w:r w:rsidR="00135569">
        <w:rPr>
          <w:rFonts w:eastAsia="Calibri" w:cs="Times New Roman"/>
          <w:sz w:val="24"/>
          <w:szCs w:val="24"/>
          <w:lang w:val="en-GB"/>
        </w:rPr>
        <w:t xml:space="preserve">’s </w:t>
      </w:r>
      <w:r w:rsidR="00135569" w:rsidRPr="005A3605">
        <w:rPr>
          <w:rFonts w:eastAsia="Calibri" w:cs="Times New Roman"/>
          <w:sz w:val="24"/>
          <w:szCs w:val="24"/>
          <w:lang w:val="en-GB"/>
        </w:rPr>
        <w:t>efficacy</w:t>
      </w:r>
      <w:r>
        <w:rPr>
          <w:rFonts w:eastAsia="Calibri" w:cs="Times New Roman"/>
          <w:sz w:val="24"/>
          <w:szCs w:val="24"/>
          <w:lang w:val="en-GB"/>
        </w:rPr>
        <w:t xml:space="preserve">.  </w:t>
      </w:r>
      <w:r w:rsidR="007331F9">
        <w:rPr>
          <w:rFonts w:eastAsia="Calibri" w:cs="Times New Roman"/>
          <w:sz w:val="24"/>
          <w:szCs w:val="24"/>
          <w:lang w:val="en-GB"/>
        </w:rPr>
        <w:t>Working synergistically with a partner product, i</w:t>
      </w:r>
      <w:r>
        <w:rPr>
          <w:rFonts w:eastAsia="Calibri" w:cs="Times New Roman"/>
          <w:sz w:val="24"/>
          <w:szCs w:val="24"/>
          <w:lang w:val="en-GB"/>
        </w:rPr>
        <w:t xml:space="preserve">t consistently </w:t>
      </w:r>
      <w:r w:rsidR="00135569">
        <w:rPr>
          <w:rFonts w:eastAsia="Calibri" w:cs="Times New Roman"/>
          <w:sz w:val="24"/>
          <w:szCs w:val="24"/>
          <w:lang w:val="en-GB"/>
        </w:rPr>
        <w:t>provid</w:t>
      </w:r>
      <w:r w:rsidR="004B5D12">
        <w:rPr>
          <w:rFonts w:eastAsia="Calibri" w:cs="Times New Roman"/>
          <w:sz w:val="24"/>
          <w:szCs w:val="24"/>
          <w:lang w:val="en-GB"/>
        </w:rPr>
        <w:t>ed</w:t>
      </w:r>
      <w:r w:rsidR="00135569">
        <w:rPr>
          <w:rFonts w:eastAsia="Calibri" w:cs="Times New Roman"/>
          <w:sz w:val="24"/>
          <w:szCs w:val="24"/>
          <w:lang w:val="en-GB"/>
        </w:rPr>
        <w:t xml:space="preserve"> outstanding control despite the artificially high disease pressure. It worked well in partnership with </w:t>
      </w:r>
      <w:r w:rsidR="00135569" w:rsidRPr="005A3605">
        <w:rPr>
          <w:rFonts w:eastAsia="Calibri" w:cs="Times New Roman"/>
          <w:sz w:val="24"/>
          <w:szCs w:val="24"/>
          <w:lang w:val="en-GB"/>
        </w:rPr>
        <w:t>propamocar</w:t>
      </w:r>
      <w:r w:rsidR="00135569">
        <w:rPr>
          <w:rFonts w:eastAsia="Calibri" w:cs="Times New Roman"/>
          <w:sz w:val="24"/>
          <w:szCs w:val="24"/>
          <w:lang w:val="en-GB"/>
        </w:rPr>
        <w:t>b</w:t>
      </w:r>
      <w:r w:rsidR="00135569" w:rsidRPr="005A3605">
        <w:rPr>
          <w:rFonts w:eastAsia="Calibri" w:cs="Times New Roman"/>
          <w:sz w:val="24"/>
          <w:szCs w:val="24"/>
          <w:lang w:val="en-GB"/>
        </w:rPr>
        <w:t xml:space="preserve">, </w:t>
      </w:r>
      <w:proofErr w:type="spellStart"/>
      <w:r w:rsidR="00135569" w:rsidRPr="005A3605">
        <w:rPr>
          <w:rFonts w:eastAsia="Calibri" w:cs="Times New Roman"/>
          <w:sz w:val="24"/>
          <w:szCs w:val="24"/>
          <w:lang w:val="en-GB"/>
        </w:rPr>
        <w:t>mandipropamid</w:t>
      </w:r>
      <w:proofErr w:type="spellEnd"/>
      <w:r w:rsidR="00135569" w:rsidRPr="005A3605">
        <w:rPr>
          <w:rFonts w:eastAsia="Calibri" w:cs="Times New Roman"/>
          <w:sz w:val="24"/>
          <w:szCs w:val="24"/>
          <w:lang w:val="en-GB"/>
        </w:rPr>
        <w:t xml:space="preserve"> </w:t>
      </w:r>
      <w:r w:rsidR="00135569">
        <w:rPr>
          <w:rFonts w:eastAsia="Calibri" w:cs="Times New Roman"/>
          <w:sz w:val="24"/>
          <w:szCs w:val="24"/>
          <w:lang w:val="en-GB"/>
        </w:rPr>
        <w:t xml:space="preserve">and </w:t>
      </w:r>
      <w:r w:rsidR="00135569" w:rsidRPr="005A3605">
        <w:rPr>
          <w:rFonts w:eastAsia="Calibri" w:cs="Times New Roman"/>
          <w:sz w:val="24"/>
          <w:szCs w:val="24"/>
          <w:lang w:val="en-GB"/>
        </w:rPr>
        <w:t xml:space="preserve">mancozeb. </w:t>
      </w:r>
      <w:r w:rsidR="00135569">
        <w:rPr>
          <w:rFonts w:eastAsia="Calibri" w:cs="Times New Roman"/>
          <w:sz w:val="24"/>
          <w:szCs w:val="24"/>
          <w:lang w:val="en-GB"/>
        </w:rPr>
        <w:t xml:space="preserve">In 2020, </w:t>
      </w:r>
      <w:r w:rsidR="0025021A">
        <w:rPr>
          <w:rFonts w:eastAsia="Calibri" w:cs="Times New Roman"/>
          <w:sz w:val="24"/>
          <w:szCs w:val="24"/>
          <w:lang w:val="en-GB"/>
        </w:rPr>
        <w:t>we</w:t>
      </w:r>
      <w:r w:rsidR="00135569">
        <w:rPr>
          <w:rFonts w:eastAsia="Calibri" w:cs="Times New Roman"/>
          <w:sz w:val="24"/>
          <w:szCs w:val="24"/>
          <w:lang w:val="en-GB"/>
        </w:rPr>
        <w:t xml:space="preserve"> repeated the trial </w:t>
      </w:r>
      <w:r w:rsidR="00135569">
        <w:rPr>
          <w:rFonts w:eastAsia="Calibri" w:cs="Times New Roman"/>
          <w:sz w:val="24"/>
          <w:szCs w:val="24"/>
          <w:lang w:val="en-GB"/>
        </w:rPr>
        <w:lastRenderedPageBreak/>
        <w:t xml:space="preserve">replacing mancozeb with a </w:t>
      </w:r>
      <w:r w:rsidR="00135569" w:rsidRPr="00A43407">
        <w:rPr>
          <w:rFonts w:eastAsia="Calibri" w:cs="Times New Roman"/>
          <w:sz w:val="24"/>
          <w:szCs w:val="24"/>
          <w:lang w:val="en-GB"/>
        </w:rPr>
        <w:t>cymoxanil/propamocarb co</w:t>
      </w:r>
      <w:r w:rsidR="00135569">
        <w:rPr>
          <w:rFonts w:eastAsia="Calibri" w:cs="Times New Roman"/>
          <w:sz w:val="24"/>
          <w:szCs w:val="24"/>
          <w:lang w:val="en-GB"/>
        </w:rPr>
        <w:t>-</w:t>
      </w:r>
      <w:r w:rsidR="00135569" w:rsidRPr="00A43407">
        <w:rPr>
          <w:rFonts w:eastAsia="Calibri" w:cs="Times New Roman"/>
          <w:sz w:val="24"/>
          <w:szCs w:val="24"/>
          <w:lang w:val="en-GB"/>
        </w:rPr>
        <w:t>formulation</w:t>
      </w:r>
      <w:r w:rsidR="00135569">
        <w:rPr>
          <w:rFonts w:eastAsia="Calibri" w:cs="Times New Roman"/>
          <w:sz w:val="24"/>
          <w:szCs w:val="24"/>
          <w:lang w:val="en-GB"/>
        </w:rPr>
        <w:t>.</w:t>
      </w:r>
      <w:r w:rsidR="00135569" w:rsidRPr="005A3605">
        <w:rPr>
          <w:rFonts w:eastAsia="Calibri" w:cs="Times New Roman"/>
          <w:sz w:val="24"/>
          <w:szCs w:val="24"/>
          <w:lang w:val="en-GB"/>
        </w:rPr>
        <w:t xml:space="preserve"> </w:t>
      </w:r>
      <w:r w:rsidR="00135569">
        <w:rPr>
          <w:rFonts w:eastAsia="Calibri" w:cs="Times New Roman"/>
          <w:sz w:val="24"/>
          <w:szCs w:val="24"/>
          <w:lang w:val="en-GB"/>
        </w:rPr>
        <w:t>Again, a</w:t>
      </w:r>
      <w:r w:rsidR="00135569" w:rsidRPr="005A3605">
        <w:rPr>
          <w:rFonts w:eastAsia="Calibri" w:cs="Times New Roman"/>
          <w:sz w:val="24"/>
          <w:szCs w:val="24"/>
          <w:lang w:val="en-GB"/>
        </w:rPr>
        <w:t>ll treatments st</w:t>
      </w:r>
      <w:r w:rsidR="00135569">
        <w:rPr>
          <w:rFonts w:eastAsia="Calibri" w:cs="Times New Roman"/>
          <w:sz w:val="24"/>
          <w:szCs w:val="24"/>
          <w:lang w:val="en-GB"/>
        </w:rPr>
        <w:t xml:space="preserve">ood-up to the challenge </w:t>
      </w:r>
      <w:r w:rsidR="00135569" w:rsidRPr="005A3605">
        <w:rPr>
          <w:rFonts w:eastAsia="Calibri" w:cs="Times New Roman"/>
          <w:sz w:val="24"/>
          <w:szCs w:val="24"/>
          <w:lang w:val="en-GB"/>
        </w:rPr>
        <w:t>well</w:t>
      </w:r>
      <w:r w:rsidR="0025021A">
        <w:rPr>
          <w:rFonts w:eastAsia="Calibri" w:cs="Times New Roman"/>
          <w:sz w:val="24"/>
          <w:szCs w:val="24"/>
          <w:lang w:val="en-GB"/>
        </w:rPr>
        <w:t>,” he says.</w:t>
      </w:r>
      <w:r w:rsidR="00135569" w:rsidRPr="005A3605">
        <w:rPr>
          <w:rFonts w:eastAsia="Calibri" w:cs="Times New Roman"/>
          <w:sz w:val="24"/>
          <w:szCs w:val="24"/>
          <w:lang w:val="en-GB"/>
        </w:rPr>
        <w:t xml:space="preserve"> </w:t>
      </w:r>
    </w:p>
    <w:p w14:paraId="7BA99B12" w14:textId="77777777" w:rsidR="0025021A" w:rsidRDefault="0025021A" w:rsidP="00135569">
      <w:pPr>
        <w:spacing w:line="360" w:lineRule="auto"/>
        <w:rPr>
          <w:lang w:val="en-GB"/>
        </w:rPr>
      </w:pPr>
    </w:p>
    <w:p w14:paraId="1D32F8FF" w14:textId="374A09BC" w:rsidR="004B5D12" w:rsidRDefault="004B5D12" w:rsidP="004B5D12">
      <w:pPr>
        <w:spacing w:line="360" w:lineRule="auto"/>
        <w:rPr>
          <w:rFonts w:eastAsia="Calibri" w:cs="Times New Roman"/>
          <w:sz w:val="24"/>
          <w:szCs w:val="24"/>
          <w:lang w:val="en-GB"/>
        </w:rPr>
      </w:pPr>
      <w:r>
        <w:rPr>
          <w:rFonts w:eastAsia="Calibri" w:cs="Times New Roman"/>
          <w:sz w:val="24"/>
          <w:szCs w:val="24"/>
          <w:lang w:val="en-GB"/>
        </w:rPr>
        <w:t xml:space="preserve">BASF has another blight spray in the pipeline, </w:t>
      </w:r>
      <w:r w:rsidRPr="00174012">
        <w:rPr>
          <w:rFonts w:eastAsia="Calibri" w:cs="Times New Roman"/>
          <w:sz w:val="24"/>
          <w:szCs w:val="24"/>
          <w:lang w:val="en-GB"/>
        </w:rPr>
        <w:t>BAS657</w:t>
      </w:r>
      <w:r>
        <w:rPr>
          <w:rFonts w:eastAsia="Calibri" w:cs="Times New Roman"/>
          <w:sz w:val="24"/>
          <w:szCs w:val="24"/>
          <w:lang w:val="en-GB"/>
        </w:rPr>
        <w:t xml:space="preserve">.  </w:t>
      </w:r>
      <w:r w:rsidRPr="00174012">
        <w:rPr>
          <w:rFonts w:eastAsia="Calibri" w:cs="Times New Roman"/>
          <w:sz w:val="24"/>
          <w:szCs w:val="24"/>
          <w:lang w:val="en-GB"/>
        </w:rPr>
        <w:t>It’s a co-formulation</w:t>
      </w:r>
      <w:r>
        <w:rPr>
          <w:rFonts w:eastAsia="Calibri" w:cs="Times New Roman"/>
          <w:sz w:val="24"/>
          <w:szCs w:val="24"/>
          <w:lang w:val="en-GB"/>
        </w:rPr>
        <w:t>,</w:t>
      </w:r>
      <w:r w:rsidRPr="00174012">
        <w:rPr>
          <w:rFonts w:eastAsia="Calibri" w:cs="Times New Roman"/>
          <w:sz w:val="24"/>
          <w:szCs w:val="24"/>
          <w:lang w:val="en-GB"/>
        </w:rPr>
        <w:t xml:space="preserve"> with two unique modes of action in </w:t>
      </w:r>
      <w:proofErr w:type="spellStart"/>
      <w:r w:rsidRPr="00174012">
        <w:rPr>
          <w:rFonts w:eastAsia="Calibri" w:cs="Times New Roman"/>
          <w:sz w:val="24"/>
          <w:szCs w:val="24"/>
          <w:lang w:val="en-GB"/>
        </w:rPr>
        <w:t>ametoctradin</w:t>
      </w:r>
      <w:proofErr w:type="spellEnd"/>
      <w:r w:rsidRPr="00174012">
        <w:rPr>
          <w:rFonts w:eastAsia="Calibri" w:cs="Times New Roman"/>
          <w:sz w:val="24"/>
          <w:szCs w:val="24"/>
          <w:lang w:val="en-GB"/>
        </w:rPr>
        <w:t xml:space="preserve"> and potassium phosphonate.  </w:t>
      </w:r>
      <w:r>
        <w:rPr>
          <w:rFonts w:eastAsia="Calibri" w:cs="Times New Roman"/>
          <w:sz w:val="24"/>
          <w:szCs w:val="24"/>
          <w:lang w:val="en-GB"/>
        </w:rPr>
        <w:t xml:space="preserve">Positioned </w:t>
      </w:r>
      <w:r w:rsidRPr="00174012">
        <w:rPr>
          <w:rFonts w:eastAsia="Calibri" w:cs="Times New Roman"/>
          <w:sz w:val="24"/>
          <w:szCs w:val="24"/>
          <w:lang w:val="en-GB"/>
        </w:rPr>
        <w:t>early in the programme</w:t>
      </w:r>
      <w:r>
        <w:rPr>
          <w:rFonts w:eastAsia="Calibri" w:cs="Times New Roman"/>
          <w:sz w:val="24"/>
          <w:szCs w:val="24"/>
          <w:lang w:val="en-GB"/>
        </w:rPr>
        <w:t xml:space="preserve">, it offers protection when the crop is at </w:t>
      </w:r>
      <w:r w:rsidRPr="00174012">
        <w:rPr>
          <w:rFonts w:eastAsia="Calibri" w:cs="Times New Roman"/>
          <w:sz w:val="24"/>
          <w:szCs w:val="24"/>
          <w:lang w:val="en-GB"/>
        </w:rPr>
        <w:t>rapid canopy development, protect</w:t>
      </w:r>
      <w:r>
        <w:rPr>
          <w:rFonts w:eastAsia="Calibri" w:cs="Times New Roman"/>
          <w:sz w:val="24"/>
          <w:szCs w:val="24"/>
          <w:lang w:val="en-GB"/>
        </w:rPr>
        <w:t>ing</w:t>
      </w:r>
      <w:r w:rsidRPr="00174012">
        <w:rPr>
          <w:rFonts w:eastAsia="Calibri" w:cs="Times New Roman"/>
          <w:sz w:val="24"/>
          <w:szCs w:val="24"/>
          <w:lang w:val="en-GB"/>
        </w:rPr>
        <w:t xml:space="preserve"> the foliage</w:t>
      </w:r>
      <w:r>
        <w:rPr>
          <w:rFonts w:eastAsia="Calibri" w:cs="Times New Roman"/>
          <w:sz w:val="24"/>
          <w:szCs w:val="24"/>
          <w:lang w:val="en-GB"/>
        </w:rPr>
        <w:t>.</w:t>
      </w:r>
    </w:p>
    <w:p w14:paraId="441DFF3E" w14:textId="77777777" w:rsidR="004B5D12" w:rsidRDefault="00B52842" w:rsidP="003B758D">
      <w:pPr>
        <w:spacing w:line="360" w:lineRule="auto"/>
        <w:rPr>
          <w:lang w:val="en-GB"/>
        </w:rPr>
      </w:pPr>
      <w:r>
        <w:rPr>
          <w:lang w:val="en-GB"/>
        </w:rPr>
        <w:t xml:space="preserve"> </w:t>
      </w:r>
    </w:p>
    <w:p w14:paraId="39E27C30" w14:textId="31183328" w:rsidR="0025021A" w:rsidRDefault="0025021A" w:rsidP="003B758D">
      <w:pPr>
        <w:pStyle w:val="FormatStandard"/>
        <w:widowControl w:val="0"/>
        <w:ind w:right="0"/>
        <w:rPr>
          <w:lang w:val="en-GB"/>
        </w:rPr>
      </w:pPr>
      <w:r>
        <w:rPr>
          <w:lang w:val="en-GB"/>
        </w:rPr>
        <w:t xml:space="preserve">For Scottish grower, James Porter, a robust fungicide programme ensures his pre-packed potatoes are well protected from blight. </w:t>
      </w:r>
    </w:p>
    <w:p w14:paraId="2641E6B9" w14:textId="7C010A08" w:rsidR="008402D4" w:rsidRDefault="0025021A" w:rsidP="003B758D">
      <w:pPr>
        <w:pStyle w:val="NormalWeb"/>
        <w:spacing w:before="200" w:beforeAutospacing="0" w:after="0" w:afterAutospacing="0" w:line="360" w:lineRule="auto"/>
        <w:textAlignment w:val="baseline"/>
        <w:rPr>
          <w:rFonts w:ascii="Arial" w:eastAsia="Calibri" w:hAnsi="Arial"/>
          <w:lang w:eastAsia="en-US"/>
        </w:rPr>
      </w:pPr>
      <w:r>
        <w:rPr>
          <w:rFonts w:ascii="Arial" w:eastAsia="Calibri" w:hAnsi="Arial"/>
          <w:lang w:eastAsia="en-US"/>
        </w:rPr>
        <w:t xml:space="preserve">“We’ve </w:t>
      </w:r>
      <w:r w:rsidRPr="0025021A">
        <w:rPr>
          <w:rFonts w:ascii="Arial" w:eastAsia="Calibri" w:hAnsi="Arial"/>
          <w:lang w:eastAsia="en-US"/>
        </w:rPr>
        <w:t xml:space="preserve">100 acres of potatoes here at East </w:t>
      </w:r>
      <w:proofErr w:type="spellStart"/>
      <w:r w:rsidRPr="0025021A">
        <w:rPr>
          <w:rFonts w:ascii="Arial" w:eastAsia="Calibri" w:hAnsi="Arial"/>
          <w:lang w:eastAsia="en-US"/>
        </w:rPr>
        <w:t>Scryne</w:t>
      </w:r>
      <w:proofErr w:type="spellEnd"/>
      <w:r w:rsidRPr="0025021A">
        <w:rPr>
          <w:rFonts w:ascii="Arial" w:eastAsia="Calibri" w:hAnsi="Arial"/>
          <w:lang w:eastAsia="en-US"/>
        </w:rPr>
        <w:t xml:space="preserve"> Farm</w:t>
      </w:r>
      <w:r w:rsidR="00976B3B">
        <w:rPr>
          <w:rFonts w:ascii="Arial" w:eastAsia="Calibri" w:hAnsi="Arial"/>
          <w:lang w:eastAsia="en-US"/>
        </w:rPr>
        <w:t xml:space="preserve"> in Angus</w:t>
      </w:r>
      <w:r>
        <w:rPr>
          <w:rFonts w:ascii="Arial" w:eastAsia="Calibri" w:hAnsi="Arial"/>
          <w:lang w:eastAsia="en-US"/>
        </w:rPr>
        <w:t xml:space="preserve"> and </w:t>
      </w:r>
      <w:r w:rsidR="008B6EFA">
        <w:rPr>
          <w:rFonts w:ascii="Arial" w:eastAsia="Calibri" w:hAnsi="Arial"/>
          <w:lang w:eastAsia="en-US"/>
        </w:rPr>
        <w:t xml:space="preserve">foliar </w:t>
      </w:r>
      <w:r>
        <w:rPr>
          <w:rFonts w:ascii="Arial" w:eastAsia="Calibri" w:hAnsi="Arial"/>
          <w:lang w:eastAsia="en-US"/>
        </w:rPr>
        <w:t xml:space="preserve">blight isn’t too much of an issue.  We’ve </w:t>
      </w:r>
      <w:r w:rsidR="008402D4">
        <w:rPr>
          <w:rFonts w:ascii="Arial" w:eastAsia="Calibri" w:hAnsi="Arial"/>
          <w:lang w:eastAsia="en-US"/>
        </w:rPr>
        <w:t>a robust fungicide</w:t>
      </w:r>
      <w:r w:rsidR="004B5D12">
        <w:rPr>
          <w:rFonts w:ascii="Arial" w:eastAsia="Calibri" w:hAnsi="Arial"/>
          <w:lang w:eastAsia="en-US"/>
        </w:rPr>
        <w:t xml:space="preserve"> programme</w:t>
      </w:r>
      <w:r w:rsidR="008402D4">
        <w:rPr>
          <w:rFonts w:ascii="Arial" w:eastAsia="Calibri" w:hAnsi="Arial"/>
          <w:lang w:eastAsia="en-US"/>
        </w:rPr>
        <w:t>, using a range of active ingredients</w:t>
      </w:r>
      <w:r w:rsidR="00360040">
        <w:rPr>
          <w:rFonts w:ascii="Arial" w:eastAsia="Calibri" w:hAnsi="Arial"/>
          <w:lang w:eastAsia="en-US"/>
        </w:rPr>
        <w:t>,</w:t>
      </w:r>
      <w:r w:rsidR="008402D4">
        <w:rPr>
          <w:rFonts w:ascii="Arial" w:eastAsia="Calibri" w:hAnsi="Arial"/>
          <w:lang w:eastAsia="en-US"/>
        </w:rPr>
        <w:t xml:space="preserve"> and follow a strict </w:t>
      </w:r>
      <w:r w:rsidR="004B5D12">
        <w:rPr>
          <w:rFonts w:ascii="Arial" w:eastAsia="Calibri" w:hAnsi="Arial"/>
          <w:lang w:eastAsia="en-US"/>
        </w:rPr>
        <w:t xml:space="preserve">timeline </w:t>
      </w:r>
      <w:r w:rsidR="008402D4">
        <w:rPr>
          <w:rFonts w:ascii="Arial" w:eastAsia="Calibri" w:hAnsi="Arial"/>
          <w:lang w:eastAsia="en-US"/>
        </w:rPr>
        <w:t>of applications every seven to ten days</w:t>
      </w:r>
      <w:r>
        <w:rPr>
          <w:rFonts w:ascii="Arial" w:eastAsia="Calibri" w:hAnsi="Arial"/>
          <w:lang w:eastAsia="en-US"/>
        </w:rPr>
        <w:t xml:space="preserve">.  </w:t>
      </w:r>
    </w:p>
    <w:p w14:paraId="7EB40B86" w14:textId="5B7C4A6D" w:rsidR="0025021A" w:rsidRDefault="008402D4" w:rsidP="003B758D">
      <w:pPr>
        <w:pStyle w:val="NormalWeb"/>
        <w:spacing w:before="200" w:beforeAutospacing="0" w:after="0" w:afterAutospacing="0" w:line="360" w:lineRule="auto"/>
        <w:textAlignment w:val="baseline"/>
        <w:rPr>
          <w:rFonts w:ascii="Arial" w:eastAsia="Calibri" w:hAnsi="Arial"/>
          <w:lang w:eastAsia="en-US"/>
        </w:rPr>
      </w:pPr>
      <w:r>
        <w:rPr>
          <w:rFonts w:ascii="Arial" w:eastAsia="Calibri" w:hAnsi="Arial"/>
          <w:lang w:eastAsia="en-US"/>
        </w:rPr>
        <w:t>“Being on light sandy loams we have a trickle irrigation system which help</w:t>
      </w:r>
      <w:r w:rsidR="00360040">
        <w:rPr>
          <w:rFonts w:ascii="Arial" w:eastAsia="Calibri" w:hAnsi="Arial"/>
          <w:lang w:eastAsia="en-US"/>
        </w:rPr>
        <w:t>s</w:t>
      </w:r>
      <w:r>
        <w:rPr>
          <w:rFonts w:ascii="Arial" w:eastAsia="Calibri" w:hAnsi="Arial"/>
          <w:lang w:eastAsia="en-US"/>
        </w:rPr>
        <w:t xml:space="preserve"> reduce the spread of spores.  We’re also a mixed farm and have a wide rotation to help control PCN, which also helps keep blight pressure low.” </w:t>
      </w:r>
    </w:p>
    <w:p w14:paraId="7A01D161" w14:textId="5C7A3AFC" w:rsidR="008402D4" w:rsidRDefault="00AB095F" w:rsidP="003B758D">
      <w:pPr>
        <w:pStyle w:val="NormalWeb"/>
        <w:spacing w:before="200" w:beforeAutospacing="0" w:after="0" w:afterAutospacing="0" w:line="360" w:lineRule="auto"/>
        <w:textAlignment w:val="baseline"/>
        <w:rPr>
          <w:rFonts w:ascii="Arial" w:eastAsia="Calibri" w:hAnsi="Arial"/>
          <w:lang w:eastAsia="en-US"/>
        </w:rPr>
      </w:pPr>
      <w:r>
        <w:rPr>
          <w:rFonts w:ascii="Arial" w:eastAsia="Calibri" w:hAnsi="Arial"/>
          <w:lang w:eastAsia="en-US"/>
        </w:rPr>
        <w:t xml:space="preserve">According to an article recently published in ‘Climate Risk Management’, future blight occurrences for James and his neighbours could increase as much as 70% in the next 50 years.  For </w:t>
      </w:r>
      <w:proofErr w:type="gramStart"/>
      <w:r>
        <w:rPr>
          <w:rFonts w:ascii="Arial" w:eastAsia="Calibri" w:hAnsi="Arial"/>
          <w:lang w:eastAsia="en-US"/>
        </w:rPr>
        <w:t>now</w:t>
      </w:r>
      <w:proofErr w:type="gramEnd"/>
      <w:r w:rsidR="00360040">
        <w:rPr>
          <w:rFonts w:ascii="Arial" w:eastAsia="Calibri" w:hAnsi="Arial"/>
          <w:lang w:eastAsia="en-US"/>
        </w:rPr>
        <w:t xml:space="preserve"> though</w:t>
      </w:r>
      <w:r>
        <w:rPr>
          <w:rFonts w:ascii="Arial" w:eastAsia="Calibri" w:hAnsi="Arial"/>
          <w:lang w:eastAsia="en-US"/>
        </w:rPr>
        <w:t xml:space="preserve">, it’s </w:t>
      </w:r>
      <w:r w:rsidR="00360040">
        <w:rPr>
          <w:rFonts w:ascii="Arial" w:eastAsia="Calibri" w:hAnsi="Arial"/>
          <w:lang w:eastAsia="en-US"/>
        </w:rPr>
        <w:t>product loss combined with unpredictable weather conditions impacting his ability to desiccate crops at optimum marketable yield that is forefront in James’ mind.</w:t>
      </w:r>
    </w:p>
    <w:p w14:paraId="6EA48912" w14:textId="383351D4" w:rsidR="008B6EFA" w:rsidRDefault="008402D4" w:rsidP="003B758D">
      <w:pPr>
        <w:pStyle w:val="NormalWeb"/>
        <w:spacing w:before="200" w:beforeAutospacing="0" w:after="0" w:afterAutospacing="0" w:line="360" w:lineRule="auto"/>
        <w:textAlignment w:val="baseline"/>
        <w:rPr>
          <w:rFonts w:ascii="Arial" w:eastAsia="Calibri" w:hAnsi="Arial"/>
          <w:lang w:eastAsia="en-US"/>
        </w:rPr>
      </w:pPr>
      <w:r>
        <w:rPr>
          <w:rFonts w:ascii="Arial" w:eastAsia="Calibri" w:hAnsi="Arial"/>
          <w:lang w:eastAsia="en-US"/>
        </w:rPr>
        <w:t>“</w:t>
      </w:r>
      <w:r w:rsidR="008B6EFA">
        <w:rPr>
          <w:rFonts w:ascii="Arial" w:eastAsia="Calibri" w:hAnsi="Arial"/>
          <w:lang w:eastAsia="en-US"/>
        </w:rPr>
        <w:t xml:space="preserve">The loss of diquat means we’re flailing crops.  We want a quick kill, </w:t>
      </w:r>
      <w:r w:rsidR="004B5D12">
        <w:rPr>
          <w:rFonts w:ascii="Arial" w:eastAsia="Calibri" w:hAnsi="Arial"/>
          <w:lang w:eastAsia="en-US"/>
        </w:rPr>
        <w:t xml:space="preserve">predominantly </w:t>
      </w:r>
      <w:r w:rsidR="00360040">
        <w:rPr>
          <w:rFonts w:ascii="Arial" w:eastAsia="Calibri" w:hAnsi="Arial"/>
          <w:lang w:eastAsia="en-US"/>
        </w:rPr>
        <w:t xml:space="preserve">to ensure we hit customer specifications but also </w:t>
      </w:r>
      <w:r w:rsidR="008B6EFA">
        <w:rPr>
          <w:rFonts w:ascii="Arial" w:eastAsia="Calibri" w:hAnsi="Arial"/>
          <w:lang w:eastAsia="en-US"/>
        </w:rPr>
        <w:t xml:space="preserve">because that’s when crops are vulnerable to late blight getting in through </w:t>
      </w:r>
      <w:r w:rsidR="004B5D12">
        <w:rPr>
          <w:rFonts w:ascii="Arial" w:eastAsia="Calibri" w:hAnsi="Arial"/>
          <w:lang w:eastAsia="en-US"/>
        </w:rPr>
        <w:t xml:space="preserve">the </w:t>
      </w:r>
      <w:r w:rsidR="00D23B98">
        <w:rPr>
          <w:rFonts w:ascii="Arial" w:eastAsia="Calibri" w:hAnsi="Arial"/>
          <w:lang w:eastAsia="en-US"/>
        </w:rPr>
        <w:t>damaged haulm</w:t>
      </w:r>
      <w:r w:rsidR="008B6EFA">
        <w:rPr>
          <w:rFonts w:ascii="Arial" w:eastAsia="Calibri" w:hAnsi="Arial"/>
          <w:lang w:eastAsia="en-US"/>
        </w:rPr>
        <w:t>.  And if the weather is against you, there’s nothing else you can do.</w:t>
      </w:r>
      <w:r w:rsidR="00360040">
        <w:rPr>
          <w:rFonts w:ascii="Arial" w:eastAsia="Calibri" w:hAnsi="Arial"/>
          <w:lang w:eastAsia="en-US"/>
        </w:rPr>
        <w:t>”</w:t>
      </w:r>
    </w:p>
    <w:p w14:paraId="3E3067BF" w14:textId="4A4D49E1" w:rsidR="0025021A" w:rsidRDefault="0025021A" w:rsidP="00A73355">
      <w:pPr>
        <w:pStyle w:val="FormatStandard"/>
        <w:widowControl w:val="0"/>
        <w:ind w:right="0"/>
        <w:rPr>
          <w:lang w:val="en-GB"/>
        </w:rPr>
      </w:pPr>
    </w:p>
    <w:p w14:paraId="77DBB08C" w14:textId="41F84211" w:rsidR="00C064B8" w:rsidRDefault="004B5D12" w:rsidP="00C064B8">
      <w:pPr>
        <w:pStyle w:val="FormatStandard"/>
        <w:widowControl w:val="0"/>
        <w:ind w:right="0"/>
        <w:jc w:val="both"/>
        <w:rPr>
          <w:lang w:val="en-US"/>
        </w:rPr>
      </w:pPr>
      <w:r>
        <w:rPr>
          <w:b/>
          <w:noProof/>
          <w:sz w:val="20"/>
          <w:szCs w:val="20"/>
          <w:lang w:val="en-US"/>
        </w:rPr>
        <w:t>R</w:t>
      </w:r>
      <w:r w:rsidR="00C064B8">
        <w:rPr>
          <w:b/>
          <w:noProof/>
          <w:sz w:val="20"/>
          <w:szCs w:val="20"/>
          <w:lang w:val="en-US"/>
        </w:rPr>
        <w:t xml:space="preserve">eceive the latest press releases from BASF via WhatsApp on your smartphone or tablet. Register for our news service at </w:t>
      </w:r>
      <w:hyperlink r:id="rId12" w:history="1">
        <w:r w:rsidR="00C064B8">
          <w:rPr>
            <w:rStyle w:val="Hyperlink"/>
            <w:b/>
            <w:noProof/>
            <w:sz w:val="20"/>
            <w:szCs w:val="20"/>
            <w:lang w:val="en-US"/>
          </w:rPr>
          <w:t>basf.com/whatsapp-news</w:t>
        </w:r>
      </w:hyperlink>
      <w:r w:rsidR="00C064B8">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 xml:space="preserve">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w:t>
      </w:r>
      <w:r>
        <w:rPr>
          <w:rStyle w:val="normaltextrun"/>
          <w:rFonts w:cs="Arial"/>
          <w:color w:val="000000"/>
          <w:shd w:val="clear" w:color="auto" w:fill="FFFFFF"/>
          <w:lang w:val="en-US"/>
        </w:rPr>
        <w:lastRenderedPageBreak/>
        <w:t>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7FD748BD" w14:textId="77777777" w:rsidR="004B5D12" w:rsidRPr="0022525E" w:rsidRDefault="004B5D12" w:rsidP="004B5D12">
      <w:pPr>
        <w:pStyle w:val="NormalWeb"/>
        <w:shd w:val="clear" w:color="auto" w:fill="FFFFFF"/>
        <w:rPr>
          <w:rFonts w:ascii="Arial" w:hAnsi="Arial" w:cs="Arial"/>
          <w:color w:val="222222"/>
          <w:sz w:val="20"/>
          <w:szCs w:val="20"/>
        </w:rPr>
      </w:pPr>
      <w:r w:rsidRPr="0022525E">
        <w:rPr>
          <w:rFonts w:ascii="Arial" w:hAnsi="Arial" w:cs="Arial"/>
          <w:color w:val="222222"/>
          <w:sz w:val="20"/>
          <w:szCs w:val="20"/>
        </w:rPr>
        <w:t>Use plant protection products safely. Always read the label and product information before use. For further product information including warning phrases and symbols refer to </w:t>
      </w:r>
      <w:hyperlink r:id="rId14" w:tgtFrame="_blank" w:tooltip="http://www.agricentre.basf.co.uk" w:history="1">
        <w:r w:rsidRPr="0022525E">
          <w:rPr>
            <w:rStyle w:val="Hyperlink"/>
            <w:rFonts w:ascii="Arial" w:hAnsi="Arial" w:cs="Arial"/>
            <w:color w:val="1155CC"/>
            <w:sz w:val="20"/>
            <w:szCs w:val="20"/>
          </w:rPr>
          <w:t>www.agricentre.basf.co.uk</w:t>
        </w:r>
      </w:hyperlink>
      <w:r w:rsidRPr="0022525E">
        <w:rPr>
          <w:rFonts w:ascii="Arial" w:hAnsi="Arial" w:cs="Arial"/>
          <w:color w:val="222222"/>
          <w:sz w:val="20"/>
          <w:szCs w:val="20"/>
        </w:rPr>
        <w:t>.</w:t>
      </w:r>
    </w:p>
    <w:p w14:paraId="451DFA7D" w14:textId="313DB319" w:rsidR="00A73F5F" w:rsidRDefault="00A73F5F" w:rsidP="006101F2">
      <w:pPr>
        <w:shd w:val="clear" w:color="auto" w:fill="FFFFFF"/>
        <w:spacing w:after="150"/>
        <w:rPr>
          <w:rFonts w:eastAsia="Times New Roman" w:cs="Arial"/>
        </w:rPr>
      </w:pPr>
      <w:r>
        <w:rPr>
          <w:rFonts w:eastAsia="Times New Roman" w:cs="Arial"/>
        </w:rPr>
        <w:t xml:space="preserve">Enervin® SC contains Ametoctradin.  Enervin® SC is a registered trademark of BASF. </w:t>
      </w:r>
      <w:r w:rsidRPr="002C6086">
        <w:rPr>
          <w:rFonts w:cs="Arial"/>
          <w:color w:val="222222"/>
        </w:rPr>
        <w:t>©</w:t>
      </w:r>
      <w:r>
        <w:rPr>
          <w:rFonts w:cs="Arial"/>
          <w:color w:val="222222"/>
        </w:rPr>
        <w:t xml:space="preserve"> BASF 2021. All rights reserved.</w:t>
      </w:r>
    </w:p>
    <w:p w14:paraId="0036DAAB" w14:textId="77777777" w:rsidR="006101F2" w:rsidRPr="003A2732" w:rsidRDefault="006101F2" w:rsidP="00586192">
      <w:pPr>
        <w:spacing w:after="200" w:line="360" w:lineRule="auto"/>
      </w:pPr>
    </w:p>
    <w:sectPr w:rsidR="006101F2"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C6E5" w14:textId="77777777" w:rsidR="001E28ED" w:rsidRDefault="001E28ED" w:rsidP="00B35193">
      <w:r>
        <w:separator/>
      </w:r>
    </w:p>
  </w:endnote>
  <w:endnote w:type="continuationSeparator" w:id="0">
    <w:p w14:paraId="77FF369A" w14:textId="77777777" w:rsidR="001E28ED" w:rsidRDefault="001E28E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80DBF"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1E28ED"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1E28ED"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EAC9" w14:textId="77777777" w:rsidR="001E28ED" w:rsidRDefault="001E28ED" w:rsidP="00B35193">
      <w:r>
        <w:separator/>
      </w:r>
    </w:p>
  </w:footnote>
  <w:footnote w:type="continuationSeparator" w:id="0">
    <w:p w14:paraId="6D5B82B4" w14:textId="77777777" w:rsidR="001E28ED" w:rsidRDefault="001E28E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56016947"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435BEE"/>
    <w:multiLevelType w:val="multilevel"/>
    <w:tmpl w:val="0098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20C79"/>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F0A6F"/>
    <w:rsid w:val="00104617"/>
    <w:rsid w:val="00105492"/>
    <w:rsid w:val="0012613B"/>
    <w:rsid w:val="00127EEB"/>
    <w:rsid w:val="0013151E"/>
    <w:rsid w:val="00135569"/>
    <w:rsid w:val="001374C2"/>
    <w:rsid w:val="00141495"/>
    <w:rsid w:val="001576FA"/>
    <w:rsid w:val="001854FD"/>
    <w:rsid w:val="001A356D"/>
    <w:rsid w:val="001B3F17"/>
    <w:rsid w:val="001B6C5C"/>
    <w:rsid w:val="001D6156"/>
    <w:rsid w:val="001E28ED"/>
    <w:rsid w:val="001E656E"/>
    <w:rsid w:val="001F1BD4"/>
    <w:rsid w:val="001F4592"/>
    <w:rsid w:val="001F50AF"/>
    <w:rsid w:val="001F6B67"/>
    <w:rsid w:val="0021611F"/>
    <w:rsid w:val="0022699A"/>
    <w:rsid w:val="00232036"/>
    <w:rsid w:val="0024026D"/>
    <w:rsid w:val="0025021A"/>
    <w:rsid w:val="00261026"/>
    <w:rsid w:val="00270607"/>
    <w:rsid w:val="00271514"/>
    <w:rsid w:val="00271AF3"/>
    <w:rsid w:val="00273FDC"/>
    <w:rsid w:val="002822FC"/>
    <w:rsid w:val="002A0F11"/>
    <w:rsid w:val="002A1254"/>
    <w:rsid w:val="002B0F54"/>
    <w:rsid w:val="002D5D44"/>
    <w:rsid w:val="002E4BB5"/>
    <w:rsid w:val="002F632C"/>
    <w:rsid w:val="00301A22"/>
    <w:rsid w:val="00305C01"/>
    <w:rsid w:val="003168F0"/>
    <w:rsid w:val="00317257"/>
    <w:rsid w:val="003355ED"/>
    <w:rsid w:val="00360040"/>
    <w:rsid w:val="00364ADF"/>
    <w:rsid w:val="003B758D"/>
    <w:rsid w:val="003C4352"/>
    <w:rsid w:val="003D1EB0"/>
    <w:rsid w:val="003E5325"/>
    <w:rsid w:val="0040435A"/>
    <w:rsid w:val="0040536D"/>
    <w:rsid w:val="00406ECB"/>
    <w:rsid w:val="0042444A"/>
    <w:rsid w:val="0043054B"/>
    <w:rsid w:val="004436B8"/>
    <w:rsid w:val="0044522F"/>
    <w:rsid w:val="004653C7"/>
    <w:rsid w:val="00471A6B"/>
    <w:rsid w:val="00471F81"/>
    <w:rsid w:val="00472D5E"/>
    <w:rsid w:val="00486064"/>
    <w:rsid w:val="004A5C76"/>
    <w:rsid w:val="004B5D12"/>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F06CD"/>
    <w:rsid w:val="005F776C"/>
    <w:rsid w:val="00601D87"/>
    <w:rsid w:val="00602441"/>
    <w:rsid w:val="006101F2"/>
    <w:rsid w:val="00625780"/>
    <w:rsid w:val="0064438C"/>
    <w:rsid w:val="00654610"/>
    <w:rsid w:val="006762EC"/>
    <w:rsid w:val="00682800"/>
    <w:rsid w:val="00686186"/>
    <w:rsid w:val="006910CD"/>
    <w:rsid w:val="006C588B"/>
    <w:rsid w:val="006E0BF7"/>
    <w:rsid w:val="006E2860"/>
    <w:rsid w:val="006F4F44"/>
    <w:rsid w:val="006F6F6B"/>
    <w:rsid w:val="00716BA6"/>
    <w:rsid w:val="007234EF"/>
    <w:rsid w:val="007331F9"/>
    <w:rsid w:val="00737511"/>
    <w:rsid w:val="00742F50"/>
    <w:rsid w:val="007741B3"/>
    <w:rsid w:val="00774D67"/>
    <w:rsid w:val="00785F24"/>
    <w:rsid w:val="00796BD2"/>
    <w:rsid w:val="007A247C"/>
    <w:rsid w:val="007A62CD"/>
    <w:rsid w:val="007A7A82"/>
    <w:rsid w:val="007B7AD1"/>
    <w:rsid w:val="007C1340"/>
    <w:rsid w:val="007C3484"/>
    <w:rsid w:val="007C7B9A"/>
    <w:rsid w:val="007D010F"/>
    <w:rsid w:val="007D7550"/>
    <w:rsid w:val="007F0DFC"/>
    <w:rsid w:val="007F4CD8"/>
    <w:rsid w:val="008061C8"/>
    <w:rsid w:val="00812DC4"/>
    <w:rsid w:val="0082683B"/>
    <w:rsid w:val="00831762"/>
    <w:rsid w:val="008327CE"/>
    <w:rsid w:val="008349B0"/>
    <w:rsid w:val="008402D4"/>
    <w:rsid w:val="00842A02"/>
    <w:rsid w:val="00844AB2"/>
    <w:rsid w:val="008724DF"/>
    <w:rsid w:val="00881724"/>
    <w:rsid w:val="008854A4"/>
    <w:rsid w:val="00887821"/>
    <w:rsid w:val="008B6EFA"/>
    <w:rsid w:val="008E5526"/>
    <w:rsid w:val="009279F1"/>
    <w:rsid w:val="00930A93"/>
    <w:rsid w:val="00932C66"/>
    <w:rsid w:val="00937C87"/>
    <w:rsid w:val="00937E38"/>
    <w:rsid w:val="00942C82"/>
    <w:rsid w:val="0094429D"/>
    <w:rsid w:val="0094733F"/>
    <w:rsid w:val="00973192"/>
    <w:rsid w:val="00976B3B"/>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474C"/>
    <w:rsid w:val="00A41D08"/>
    <w:rsid w:val="00A64171"/>
    <w:rsid w:val="00A73355"/>
    <w:rsid w:val="00A73F5F"/>
    <w:rsid w:val="00A82094"/>
    <w:rsid w:val="00A84B6E"/>
    <w:rsid w:val="00AA4270"/>
    <w:rsid w:val="00AA79F4"/>
    <w:rsid w:val="00AB095F"/>
    <w:rsid w:val="00AB6659"/>
    <w:rsid w:val="00AD04CA"/>
    <w:rsid w:val="00AD1D93"/>
    <w:rsid w:val="00AD3747"/>
    <w:rsid w:val="00AD6D6F"/>
    <w:rsid w:val="00AE2087"/>
    <w:rsid w:val="00AE3532"/>
    <w:rsid w:val="00AF3512"/>
    <w:rsid w:val="00B10AC1"/>
    <w:rsid w:val="00B12732"/>
    <w:rsid w:val="00B1660E"/>
    <w:rsid w:val="00B247CD"/>
    <w:rsid w:val="00B35193"/>
    <w:rsid w:val="00B52842"/>
    <w:rsid w:val="00B5473C"/>
    <w:rsid w:val="00B73F1A"/>
    <w:rsid w:val="00B75E06"/>
    <w:rsid w:val="00B76AAA"/>
    <w:rsid w:val="00B874A3"/>
    <w:rsid w:val="00B93230"/>
    <w:rsid w:val="00BA7643"/>
    <w:rsid w:val="00BB55D9"/>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3ECC"/>
    <w:rsid w:val="00C74E99"/>
    <w:rsid w:val="00C915A5"/>
    <w:rsid w:val="00C936AB"/>
    <w:rsid w:val="00CB3652"/>
    <w:rsid w:val="00CB794E"/>
    <w:rsid w:val="00CC3DCD"/>
    <w:rsid w:val="00CE331B"/>
    <w:rsid w:val="00CE4B41"/>
    <w:rsid w:val="00CF7AAE"/>
    <w:rsid w:val="00D00966"/>
    <w:rsid w:val="00D23319"/>
    <w:rsid w:val="00D23B98"/>
    <w:rsid w:val="00D30E42"/>
    <w:rsid w:val="00D448D7"/>
    <w:rsid w:val="00D649E1"/>
    <w:rsid w:val="00D7670C"/>
    <w:rsid w:val="00D866E3"/>
    <w:rsid w:val="00DB0EA4"/>
    <w:rsid w:val="00DB30A5"/>
    <w:rsid w:val="00DB43D2"/>
    <w:rsid w:val="00DD0E21"/>
    <w:rsid w:val="00E02421"/>
    <w:rsid w:val="00E06C36"/>
    <w:rsid w:val="00E07EE7"/>
    <w:rsid w:val="00E2578B"/>
    <w:rsid w:val="00E3130F"/>
    <w:rsid w:val="00E35D1B"/>
    <w:rsid w:val="00E64554"/>
    <w:rsid w:val="00E648D1"/>
    <w:rsid w:val="00E653F2"/>
    <w:rsid w:val="00E9407E"/>
    <w:rsid w:val="00EB512F"/>
    <w:rsid w:val="00EC0B80"/>
    <w:rsid w:val="00EE1D35"/>
    <w:rsid w:val="00EF1D91"/>
    <w:rsid w:val="00F05EF8"/>
    <w:rsid w:val="00F536DC"/>
    <w:rsid w:val="00F53EDF"/>
    <w:rsid w:val="00F67655"/>
    <w:rsid w:val="00F85599"/>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761803753">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earch?rlz=1C1NDCM_enGB855GB855&amp;sxsrf=ALeKk02fftsU5cy0dAohS6H01y6-UtCI7g:1622980624528&amp;q=potatoes+maleic+hydroxide&amp;spell=1&amp;sa=X&amp;ved=2ahUKEwiLuuj8-YLxAhXIQEEAHcYDCtAQkeECKAB6BAgBED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entre.basf.co.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2.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3.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5</cp:revision>
  <cp:lastPrinted>2017-08-25T13:00:00Z</cp:lastPrinted>
  <dcterms:created xsi:type="dcterms:W3CDTF">2021-06-07T10:10:00Z</dcterms:created>
  <dcterms:modified xsi:type="dcterms:W3CDTF">2021-06-08T10:07:00Z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